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4B" w:rsidRDefault="00844C4B" w:rsidP="00844C4B">
      <w:pPr>
        <w:jc w:val="center"/>
        <w:rPr>
          <w:b/>
        </w:rPr>
      </w:pPr>
      <w:r>
        <w:rPr>
          <w:b/>
        </w:rPr>
        <w:t>UCLA Chemistry 144 Organic Synthesis</w:t>
      </w:r>
    </w:p>
    <w:p w:rsidR="00844C4B" w:rsidRDefault="00844C4B" w:rsidP="00844C4B">
      <w:pPr>
        <w:jc w:val="center"/>
        <w:rPr>
          <w:b/>
        </w:rPr>
      </w:pPr>
      <w:r>
        <w:rPr>
          <w:b/>
        </w:rPr>
        <w:t>Professor Michael E. Jung</w:t>
      </w:r>
    </w:p>
    <w:p w:rsidR="00844C4B" w:rsidRDefault="00844C4B" w:rsidP="00844C4B">
      <w:pPr>
        <w:jc w:val="center"/>
        <w:rPr>
          <w:b/>
        </w:rPr>
      </w:pPr>
      <w:r>
        <w:rPr>
          <w:b/>
        </w:rPr>
        <w:t xml:space="preserve">Experiment 2: </w:t>
      </w:r>
      <w:proofErr w:type="spellStart"/>
      <w:r>
        <w:rPr>
          <w:b/>
        </w:rPr>
        <w:t>Tropolone</w:t>
      </w:r>
      <w:proofErr w:type="spellEnd"/>
      <w:r>
        <w:rPr>
          <w:b/>
        </w:rPr>
        <w:t xml:space="preserve"> Synthesis</w:t>
      </w:r>
    </w:p>
    <w:p w:rsidR="00844C4B" w:rsidRDefault="00844C4B" w:rsidP="00844C4B">
      <w:pPr>
        <w:jc w:val="center"/>
        <w:rPr>
          <w:b/>
        </w:rPr>
      </w:pPr>
      <w:r>
        <w:rPr>
          <w:b/>
        </w:rPr>
        <w:t>Heather Graehl</w:t>
      </w:r>
    </w:p>
    <w:p w:rsidR="00844C4B" w:rsidRDefault="00844C4B" w:rsidP="00844C4B">
      <w:pPr>
        <w:rPr>
          <w:b/>
        </w:rPr>
      </w:pPr>
      <w:r>
        <w:rPr>
          <w:b/>
        </w:rPr>
        <w:t>Abstract</w:t>
      </w:r>
    </w:p>
    <w:p w:rsidR="00FF7CA1" w:rsidRPr="00CE3B12" w:rsidRDefault="00FF7CA1" w:rsidP="00844C4B">
      <w:r>
        <w:rPr>
          <w:b/>
        </w:rPr>
        <w:tab/>
      </w:r>
      <w:r w:rsidR="00CE3B12">
        <w:t xml:space="preserve">The multistep synthesis of </w:t>
      </w:r>
      <w:proofErr w:type="spellStart"/>
      <w:r w:rsidR="00CE3B12">
        <w:t>tropolone</w:t>
      </w:r>
      <w:proofErr w:type="spellEnd"/>
      <w:r w:rsidR="00CE3B12">
        <w:t xml:space="preserve"> was carried out using </w:t>
      </w:r>
      <w:proofErr w:type="spellStart"/>
      <w:r w:rsidR="00CE3B12">
        <w:t>cyclopentadiene</w:t>
      </w:r>
      <w:proofErr w:type="spellEnd"/>
      <w:r w:rsidR="00CE3B12">
        <w:t xml:space="preserve"> and </w:t>
      </w:r>
      <w:proofErr w:type="spellStart"/>
      <w:r w:rsidR="00CE3B12">
        <w:t>dichloroketene</w:t>
      </w:r>
      <w:proofErr w:type="spellEnd"/>
      <w:r w:rsidR="00CE3B12">
        <w:t xml:space="preserve"> to </w:t>
      </w:r>
      <w:r w:rsidR="00CE3B12" w:rsidRPr="00CE3B12">
        <w:t>a 7</w:t>
      </w:r>
      <w:proofErr w:type="gramStart"/>
      <w:r w:rsidR="00CE3B12" w:rsidRPr="00CE3B12">
        <w:t>,7</w:t>
      </w:r>
      <w:proofErr w:type="gramEnd"/>
      <w:r w:rsidR="00CE3B12" w:rsidRPr="00CE3B12">
        <w:t>-dichlorobicyclo [3.2.0]hept-2-en-6-one</w:t>
      </w:r>
      <w:r w:rsidR="00CE3B12">
        <w:t xml:space="preserve"> which then undergoes an interesting elimination </w:t>
      </w:r>
      <w:proofErr w:type="spellStart"/>
      <w:r w:rsidR="00CE3B12">
        <w:t>consistant</w:t>
      </w:r>
      <w:proofErr w:type="spellEnd"/>
      <w:r w:rsidR="00CE3B12">
        <w:t xml:space="preserve"> with </w:t>
      </w:r>
      <w:proofErr w:type="spellStart"/>
      <w:r w:rsidR="00CE3B12">
        <w:t>Grob</w:t>
      </w:r>
      <w:proofErr w:type="spellEnd"/>
      <w:r w:rsidR="00CE3B12">
        <w:t xml:space="preserve"> fragmentation with acetic acid, acetate, and water. The synthetic route starts with readily available starting compounds and produces high yields. Though </w:t>
      </w:r>
      <w:proofErr w:type="spellStart"/>
      <w:r w:rsidR="00CE3B12">
        <w:t>tropolone</w:t>
      </w:r>
      <w:proofErr w:type="spellEnd"/>
      <w:r w:rsidR="00CE3B12">
        <w:t xml:space="preserve"> was believed to be successfully synthesized, the </w:t>
      </w:r>
      <w:proofErr w:type="spellStart"/>
      <w:r w:rsidR="00CE3B12">
        <w:t>decomplexing</w:t>
      </w:r>
      <w:proofErr w:type="spellEnd"/>
      <w:r w:rsidR="00CE3B12">
        <w:t xml:space="preserve"> of </w:t>
      </w:r>
      <w:proofErr w:type="spellStart"/>
      <w:r w:rsidR="00CE3B12">
        <w:t>tropolone</w:t>
      </w:r>
      <w:proofErr w:type="spellEnd"/>
      <w:r w:rsidR="00CE3B12">
        <w:t xml:space="preserve"> from copper proved unsuccessful.</w:t>
      </w:r>
    </w:p>
    <w:p w:rsidR="00844C4B" w:rsidRDefault="00FF7CA1" w:rsidP="00844C4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297815</wp:posOffset>
            </wp:positionV>
            <wp:extent cx="3223260" cy="2891790"/>
            <wp:effectExtent l="19050" t="0" r="0" b="0"/>
            <wp:wrapSquare wrapText="bothSides"/>
            <wp:docPr id="2" name="Picture 1" descr="reaction sche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ction scheme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C4B">
        <w:rPr>
          <w:b/>
        </w:rPr>
        <w:t>Introduction</w:t>
      </w:r>
    </w:p>
    <w:p w:rsidR="00FB3B3E" w:rsidRDefault="00FF7CA1" w:rsidP="00FF7CA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4.65pt;margin-top:230.2pt;width:186.65pt;height:16.5pt;z-index:251665408" stroked="f">
            <v:textbox inset="0,0,0,0">
              <w:txbxContent>
                <w:p w:rsidR="00FF7CA1" w:rsidRPr="00EC7F13" w:rsidRDefault="00FF7CA1" w:rsidP="00FF7CA1">
                  <w:pPr>
                    <w:pStyle w:val="Caption"/>
                    <w:rPr>
                      <w:noProof/>
                    </w:rPr>
                  </w:pPr>
                  <w:r>
                    <w:t xml:space="preserve">Figure </w:t>
                  </w:r>
                  <w:fldSimple w:instr=" SEQ Figure \* ARABIC ">
                    <w:r w:rsidR="00E76B50">
                      <w:rPr>
                        <w:noProof/>
                      </w:rPr>
                      <w:t>1</w:t>
                    </w:r>
                  </w:fldSimple>
                  <w:r>
                    <w:t>: Reaction Scheme</w:t>
                  </w:r>
                </w:p>
              </w:txbxContent>
            </v:textbox>
            <w10:wrap type="square"/>
          </v:shape>
        </w:pict>
      </w:r>
      <w:r w:rsidR="0060298F">
        <w:rPr>
          <w:b/>
        </w:rPr>
        <w:tab/>
      </w:r>
      <w:proofErr w:type="spellStart"/>
      <w:r w:rsidR="0060298F">
        <w:t>Tropolone</w:t>
      </w:r>
      <w:proofErr w:type="spellEnd"/>
      <w:r w:rsidR="003D33B1">
        <w:t xml:space="preserve"> (6) is an interesting compound that has many resonance structures and characteristics of similar </w:t>
      </w:r>
      <w:proofErr w:type="spellStart"/>
      <w:r w:rsidR="003D33B1">
        <w:t>polyenones</w:t>
      </w:r>
      <w:proofErr w:type="spellEnd"/>
      <w:r w:rsidR="003D33B1">
        <w:t xml:space="preserve"> and </w:t>
      </w:r>
      <w:proofErr w:type="spellStart"/>
      <w:r w:rsidR="003D33B1">
        <w:t>polyenes</w:t>
      </w:r>
      <w:proofErr w:type="spellEnd"/>
      <w:r w:rsidR="003D33B1">
        <w:t>, though it does not have aromatic character</w:t>
      </w:r>
      <w:r w:rsidR="00DC5A80">
        <w:t xml:space="preserve"> as one might infer from its structure</w:t>
      </w:r>
      <w:r w:rsidR="00A84C19">
        <w:t>.</w:t>
      </w:r>
      <w:r w:rsidR="00671FD8">
        <w:rPr>
          <w:vertAlign w:val="superscript"/>
        </w:rPr>
        <w:t>1</w:t>
      </w:r>
      <w:r w:rsidR="003D33B1">
        <w:t xml:space="preserve"> </w:t>
      </w:r>
      <w:proofErr w:type="spellStart"/>
      <w:r w:rsidR="00275DC6">
        <w:t>Tropolone</w:t>
      </w:r>
      <w:proofErr w:type="spellEnd"/>
      <w:r w:rsidR="00275DC6">
        <w:t xml:space="preserve"> can be used in </w:t>
      </w:r>
      <w:proofErr w:type="spellStart"/>
      <w:proofErr w:type="gramStart"/>
      <w:r w:rsidR="00275DC6">
        <w:t>diels</w:t>
      </w:r>
      <w:proofErr w:type="spellEnd"/>
      <w:proofErr w:type="gramEnd"/>
      <w:r w:rsidR="00275DC6">
        <w:t xml:space="preserve"> alder reactions and is a useful starting compound for complex larger ring systems such as steroids. </w:t>
      </w:r>
      <w:r w:rsidR="00FB3B3E">
        <w:t>The synthetic</w:t>
      </w:r>
      <w:r w:rsidR="003D33B1">
        <w:t xml:space="preserve"> route performed in this experiment employs the use of a ketene (5) to undergo a unique elimination following </w:t>
      </w:r>
      <w:proofErr w:type="spellStart"/>
      <w:r w:rsidR="003D33B1">
        <w:t>Grob</w:t>
      </w:r>
      <w:proofErr w:type="spellEnd"/>
      <w:r w:rsidR="003D33B1">
        <w:t xml:space="preserve"> fragmentation pattern</w:t>
      </w:r>
      <w:r w:rsidR="00A84C19">
        <w:t>.</w:t>
      </w:r>
      <w:r w:rsidR="00A84C19">
        <w:rPr>
          <w:vertAlign w:val="superscript"/>
        </w:rPr>
        <w:t>2</w:t>
      </w:r>
      <w:proofErr w:type="gramStart"/>
      <w:r w:rsidR="00A84C19">
        <w:rPr>
          <w:vertAlign w:val="superscript"/>
        </w:rPr>
        <w:t>,3</w:t>
      </w:r>
      <w:proofErr w:type="gramEnd"/>
      <w:r w:rsidR="003D33B1">
        <w:t xml:space="preserve"> </w:t>
      </w:r>
      <w:r w:rsidR="00FB3B3E">
        <w:t xml:space="preserve">The reaction scheme is outlined in Figure 1. </w:t>
      </w:r>
      <w:r w:rsidR="003D33B1">
        <w:t>Othe</w:t>
      </w:r>
      <w:r w:rsidR="00E70AA0">
        <w:t xml:space="preserve">r routes to </w:t>
      </w:r>
      <w:proofErr w:type="spellStart"/>
      <w:r w:rsidR="00E70AA0">
        <w:t>tropolone</w:t>
      </w:r>
      <w:proofErr w:type="spellEnd"/>
      <w:r w:rsidR="00E70AA0">
        <w:t xml:space="preserve"> synthesis include </w:t>
      </w:r>
      <w:r w:rsidR="003D33B1">
        <w:t>irradiation of benzene in diazomethane</w:t>
      </w:r>
      <w:r w:rsidR="002E6AA7">
        <w:t xml:space="preserve"> to </w:t>
      </w:r>
      <w:proofErr w:type="spellStart"/>
      <w:r w:rsidR="002E6AA7">
        <w:t>cycloheptatriene</w:t>
      </w:r>
      <w:proofErr w:type="spellEnd"/>
      <w:r w:rsidR="003D33B1">
        <w:t xml:space="preserve"> and </w:t>
      </w:r>
      <w:r w:rsidR="002E6AA7">
        <w:t xml:space="preserve">subsequent </w:t>
      </w:r>
      <w:r w:rsidR="003D33B1">
        <w:t>oxidation with KMnO</w:t>
      </w:r>
      <w:r w:rsidR="003D33B1">
        <w:rPr>
          <w:vertAlign w:val="subscript"/>
        </w:rPr>
        <w:t>4</w:t>
      </w:r>
      <w:r w:rsidR="00092ADC">
        <w:t>.</w:t>
      </w:r>
      <w:r w:rsidR="004E4936">
        <w:rPr>
          <w:vertAlign w:val="superscript"/>
        </w:rPr>
        <w:t>4</w:t>
      </w:r>
      <w:r w:rsidR="002E6AA7">
        <w:t xml:space="preserve"> </w:t>
      </w:r>
      <w:r w:rsidR="006069EA">
        <w:t>Though this alternative is one step, it requires equipment since as 80-plate column that is not available in this course.</w:t>
      </w:r>
    </w:p>
    <w:p w:rsidR="00844C4B" w:rsidRDefault="00844C4B" w:rsidP="00844C4B">
      <w:pPr>
        <w:rPr>
          <w:b/>
        </w:rPr>
      </w:pPr>
      <w:r>
        <w:rPr>
          <w:b/>
        </w:rPr>
        <w:t>Discussion</w:t>
      </w:r>
    </w:p>
    <w:p w:rsidR="00220403" w:rsidRDefault="00930953" w:rsidP="009E7557">
      <w:r>
        <w:rPr>
          <w:b/>
        </w:rPr>
        <w:tab/>
      </w:r>
      <w:proofErr w:type="spellStart"/>
      <w:r>
        <w:rPr>
          <w:b/>
        </w:rPr>
        <w:t>Cyclopentadiene</w:t>
      </w:r>
      <w:proofErr w:type="spellEnd"/>
      <w:r>
        <w:rPr>
          <w:b/>
        </w:rPr>
        <w:t xml:space="preserve"> (2)</w:t>
      </w:r>
      <w:r>
        <w:t xml:space="preserve"> – </w:t>
      </w:r>
      <w:proofErr w:type="spellStart"/>
      <w:r w:rsidR="008A32AB">
        <w:t>Monomeric</w:t>
      </w:r>
      <w:proofErr w:type="spellEnd"/>
      <w:r w:rsidR="008A32AB">
        <w:t xml:space="preserve"> </w:t>
      </w:r>
      <w:proofErr w:type="spellStart"/>
      <w:r w:rsidR="008A32AB">
        <w:t>cyclopentadiene</w:t>
      </w:r>
      <w:proofErr w:type="spellEnd"/>
      <w:r w:rsidR="008A32AB">
        <w:t xml:space="preserve"> (2) is a good reagent for </w:t>
      </w:r>
      <w:proofErr w:type="spellStart"/>
      <w:proofErr w:type="gramStart"/>
      <w:r w:rsidR="008A32AB">
        <w:t>diels</w:t>
      </w:r>
      <w:proofErr w:type="spellEnd"/>
      <w:proofErr w:type="gramEnd"/>
      <w:r w:rsidR="008A32AB">
        <w:t xml:space="preserve"> alder reactions though it must be prepared by cracking its more stable </w:t>
      </w:r>
      <w:proofErr w:type="spellStart"/>
      <w:r w:rsidR="008A32AB">
        <w:t>dimer</w:t>
      </w:r>
      <w:proofErr w:type="spellEnd"/>
      <w:r w:rsidR="008A32AB">
        <w:t xml:space="preserve"> (1) via a retro-</w:t>
      </w:r>
      <w:proofErr w:type="spellStart"/>
      <w:r w:rsidR="008A32AB">
        <w:t>diels</w:t>
      </w:r>
      <w:proofErr w:type="spellEnd"/>
      <w:r w:rsidR="008A32AB">
        <w:t xml:space="preserve"> alder reaction.</w:t>
      </w:r>
      <w:r w:rsidR="009E7557">
        <w:t xml:space="preserve"> </w:t>
      </w:r>
      <w:r w:rsidR="00220403">
        <w:t xml:space="preserve">Though </w:t>
      </w:r>
      <w:proofErr w:type="spellStart"/>
      <w:r w:rsidR="00220403">
        <w:t>dicyclopentadiene</w:t>
      </w:r>
      <w:proofErr w:type="spellEnd"/>
      <w:r w:rsidR="00220403">
        <w:t xml:space="preserve"> (1) is a liquid at room temperature, the reagent bottle was mostly solid indicating a higher degree of polymerization though this is not believed to have significant effect</w:t>
      </w:r>
      <w:r w:rsidR="005109B2">
        <w:t xml:space="preserve"> on obtaining the monomer (2) by distillation</w:t>
      </w:r>
      <w:r w:rsidR="00220403">
        <w:t xml:space="preserve">. </w:t>
      </w:r>
      <w:r w:rsidR="00FF7CA1">
        <w:t>The procedure by F</w:t>
      </w:r>
      <w:r w:rsidR="00E37B35">
        <w:t>eiser</w:t>
      </w:r>
      <w:r w:rsidR="00F14754">
        <w:rPr>
          <w:vertAlign w:val="superscript"/>
        </w:rPr>
        <w:t>5</w:t>
      </w:r>
      <w:r w:rsidR="00E37B35">
        <w:t xml:space="preserve"> did not indicate a specific temperature required to </w:t>
      </w:r>
      <w:r w:rsidR="0068659C">
        <w:t xml:space="preserve">crack </w:t>
      </w:r>
      <w:r w:rsidR="00E37B35">
        <w:t xml:space="preserve">(1), though an oil bath maintained at 180-240°C gave optimal distillation. The internal temperature </w:t>
      </w:r>
      <w:r w:rsidR="00E37B35">
        <w:lastRenderedPageBreak/>
        <w:t>did periodically exceed 42°C as warned ag</w:t>
      </w:r>
      <w:r w:rsidR="00166572">
        <w:t>ainst in F</w:t>
      </w:r>
      <w:r w:rsidR="00E37B35">
        <w:t>eiser</w:t>
      </w:r>
      <w:r w:rsidR="00166572">
        <w:rPr>
          <w:vertAlign w:val="superscript"/>
        </w:rPr>
        <w:t>5</w:t>
      </w:r>
      <w:r w:rsidR="003B4C8F">
        <w:t xml:space="preserve"> since </w:t>
      </w:r>
      <w:r w:rsidR="00E37B35">
        <w:t xml:space="preserve">this is the boiling point of monomer (2), so some </w:t>
      </w:r>
      <w:proofErr w:type="spellStart"/>
      <w:r w:rsidR="003B4C8F">
        <w:t>dimer</w:t>
      </w:r>
      <w:proofErr w:type="spellEnd"/>
      <w:r w:rsidR="003B4C8F">
        <w:t xml:space="preserve"> was likely collected</w:t>
      </w:r>
      <w:r w:rsidR="00F476E6">
        <w:t xml:space="preserve"> since the </w:t>
      </w:r>
      <w:proofErr w:type="spellStart"/>
      <w:r w:rsidR="00F476E6">
        <w:t>dimer</w:t>
      </w:r>
      <w:proofErr w:type="spellEnd"/>
      <w:r w:rsidR="00F476E6">
        <w:t xml:space="preserve"> </w:t>
      </w:r>
      <w:r w:rsidR="001F598E">
        <w:t>has boiling point of 170°C</w:t>
      </w:r>
      <w:r w:rsidR="003B4C8F">
        <w:t>. Though it is advantageous to mini</w:t>
      </w:r>
      <w:r w:rsidR="00E50454">
        <w:t xml:space="preserve">mize collection of the </w:t>
      </w:r>
      <w:proofErr w:type="spellStart"/>
      <w:r w:rsidR="00E50454">
        <w:t>dimer</w:t>
      </w:r>
      <w:proofErr w:type="spellEnd"/>
      <w:r w:rsidR="003B4C8F">
        <w:t xml:space="preserve">, it is not detrimental since </w:t>
      </w:r>
      <w:proofErr w:type="spellStart"/>
      <w:r w:rsidR="001F598E">
        <w:t>re</w:t>
      </w:r>
      <w:r w:rsidR="003B4C8F">
        <w:t>dimerization</w:t>
      </w:r>
      <w:proofErr w:type="spellEnd"/>
      <w:r w:rsidR="003B4C8F">
        <w:t xml:space="preserve"> is unavoidable during storage as well as subsequent steps use </w:t>
      </w:r>
      <w:r w:rsidR="0026627A">
        <w:t xml:space="preserve">monomer </w:t>
      </w:r>
      <w:r w:rsidR="005A2D6F">
        <w:t>in exc</w:t>
      </w:r>
      <w:r w:rsidR="006707D2">
        <w:t xml:space="preserve">ess. </w:t>
      </w:r>
      <w:proofErr w:type="spellStart"/>
      <w:r w:rsidR="006707D2">
        <w:t>Cyclopentadiene</w:t>
      </w:r>
      <w:proofErr w:type="spellEnd"/>
      <w:r w:rsidR="006707D2">
        <w:t xml:space="preserve"> monomer</w:t>
      </w:r>
      <w:r w:rsidR="005A2D6F">
        <w:t xml:space="preserve"> has a </w:t>
      </w:r>
      <w:proofErr w:type="spellStart"/>
      <w:r w:rsidR="005A2D6F">
        <w:t>dimerization</w:t>
      </w:r>
      <w:proofErr w:type="spellEnd"/>
      <w:r w:rsidR="005A2D6F">
        <w:t xml:space="preserve"> rate of 3.5% mol per hour at 25°C, so precaution was taken to store it at 0°C which reduces the </w:t>
      </w:r>
      <w:proofErr w:type="spellStart"/>
      <w:r w:rsidR="005A2D6F">
        <w:t>dimerization</w:t>
      </w:r>
      <w:proofErr w:type="spellEnd"/>
      <w:r w:rsidR="005A2D6F">
        <w:t xml:space="preserve"> rate to 0.5% mol per hour. </w:t>
      </w:r>
      <w:r w:rsidR="005156F7">
        <w:rPr>
          <w:vertAlign w:val="superscript"/>
        </w:rPr>
        <w:t>6</w:t>
      </w:r>
      <w:r w:rsidR="005A2D6F">
        <w:t xml:space="preserve"> </w:t>
      </w:r>
    </w:p>
    <w:p w:rsidR="009A57A9" w:rsidRPr="00D8500B" w:rsidRDefault="009A57A9" w:rsidP="005A2D6F">
      <w:pPr>
        <w:ind w:firstLine="720"/>
      </w:pPr>
      <w:r>
        <w:t xml:space="preserve">The </w:t>
      </w:r>
      <w:r w:rsidR="00B74E01">
        <w:t xml:space="preserve">proton and carbon NMR </w:t>
      </w:r>
      <w:r w:rsidR="002577FE">
        <w:t xml:space="preserve">peak assignments are shown in table 1. A variable temperature proton NMR would be interesting to better show 1-5 </w:t>
      </w:r>
      <w:proofErr w:type="spellStart"/>
      <w:r w:rsidR="002577FE">
        <w:t>sigmatropic</w:t>
      </w:r>
      <w:proofErr w:type="spellEnd"/>
      <w:r w:rsidR="002577FE">
        <w:t xml:space="preserve"> shifts of </w:t>
      </w:r>
      <w:proofErr w:type="spellStart"/>
      <w:r w:rsidR="002577FE">
        <w:t>cyclopentadiene</w:t>
      </w:r>
      <w:proofErr w:type="spellEnd"/>
      <w:r w:rsidR="002577FE">
        <w:t xml:space="preserve">. FTIR </w:t>
      </w:r>
      <w:r w:rsidR="00D8500B">
        <w:t>has notable sp2 C peaks at 1339cm</w:t>
      </w:r>
      <w:r w:rsidR="00D8500B">
        <w:rPr>
          <w:vertAlign w:val="superscript"/>
        </w:rPr>
        <w:t>-1</w:t>
      </w:r>
      <w:r w:rsidR="00D8500B">
        <w:t>, 1360cm</w:t>
      </w:r>
      <w:r w:rsidR="00D8500B">
        <w:rPr>
          <w:vertAlign w:val="superscript"/>
        </w:rPr>
        <w:t>-1</w:t>
      </w:r>
      <w:r w:rsidR="00D8500B">
        <w:t>, 1439</w:t>
      </w:r>
      <w:r w:rsidR="00D8500B" w:rsidRPr="00D8500B">
        <w:t xml:space="preserve"> </w:t>
      </w:r>
      <w:r w:rsidR="00D8500B">
        <w:t>cm</w:t>
      </w:r>
      <w:r w:rsidR="00D8500B">
        <w:rPr>
          <w:vertAlign w:val="superscript"/>
        </w:rPr>
        <w:t>-1</w:t>
      </w:r>
      <w:r w:rsidR="00D8500B">
        <w:t>,1615cm</w:t>
      </w:r>
      <w:r w:rsidR="00D8500B">
        <w:rPr>
          <w:vertAlign w:val="superscript"/>
        </w:rPr>
        <w:t>-1</w:t>
      </w:r>
      <w:r w:rsidR="00D8500B">
        <w:t xml:space="preserve"> and C-H peaks at 2844cm</w:t>
      </w:r>
      <w:r w:rsidR="00D8500B">
        <w:rPr>
          <w:vertAlign w:val="superscript"/>
        </w:rPr>
        <w:t>-1</w:t>
      </w:r>
      <w:r w:rsidR="00D8500B">
        <w:t xml:space="preserve">, </w:t>
      </w:r>
      <w:r w:rsidR="00396DDC">
        <w:t>2927</w:t>
      </w:r>
      <w:r w:rsidR="00D8500B">
        <w:t>cm</w:t>
      </w:r>
      <w:r w:rsidR="00D8500B">
        <w:rPr>
          <w:vertAlign w:val="superscript"/>
        </w:rPr>
        <w:t>-1</w:t>
      </w:r>
      <w:r w:rsidR="00D8500B">
        <w:t xml:space="preserve">, </w:t>
      </w:r>
      <w:r w:rsidR="00396DDC">
        <w:t>2961</w:t>
      </w:r>
      <w:r w:rsidR="00D8500B">
        <w:t>cm</w:t>
      </w:r>
      <w:r w:rsidR="00D8500B">
        <w:rPr>
          <w:vertAlign w:val="superscript"/>
        </w:rPr>
        <w:t>-1</w:t>
      </w:r>
      <w:r w:rsidR="00396DDC">
        <w:t>, and 3046</w:t>
      </w:r>
      <w:r w:rsidR="00D8500B">
        <w:t>cm</w:t>
      </w:r>
      <w:r w:rsidR="00D8500B">
        <w:rPr>
          <w:vertAlign w:val="superscript"/>
        </w:rPr>
        <w:t>-1</w:t>
      </w:r>
      <w:r w:rsidR="00D8500B">
        <w:t>.</w:t>
      </w:r>
      <w:r w:rsidR="005109B2"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20BA0" w:rsidTr="00320BA0">
        <w:tc>
          <w:tcPr>
            <w:tcW w:w="4788" w:type="dxa"/>
          </w:tcPr>
          <w:p w:rsidR="00320BA0" w:rsidRDefault="002577FE" w:rsidP="005A2D6F"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</w:rPr>
              <w:t>C NMR (</w:t>
            </w:r>
            <w:r>
              <w:t xml:space="preserve">100 </w:t>
            </w:r>
            <w:proofErr w:type="spellStart"/>
            <w:r>
              <w:t>mHz</w:t>
            </w:r>
            <w:proofErr w:type="spellEnd"/>
            <w:r>
              <w:t>, CDCl</w:t>
            </w:r>
            <w:r>
              <w:rPr>
                <w:vertAlign w:val="subscript"/>
              </w:rPr>
              <w:t>3</w:t>
            </w:r>
            <w:r>
              <w:t>) δ (</w:t>
            </w:r>
            <w:proofErr w:type="spellStart"/>
            <w:r>
              <w:t>ppm</w:t>
            </w:r>
            <w:proofErr w:type="spellEnd"/>
            <w:r>
              <w:t>) 41.6, 132.3, 133.2</w:t>
            </w:r>
            <w:r w:rsidR="00A5389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-1610</wp:posOffset>
                  </wp:positionV>
                  <wp:extent cx="999460" cy="999461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60" cy="999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320BA0" w:rsidRDefault="002577FE" w:rsidP="002577FE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19582</wp:posOffset>
                  </wp:positionH>
                  <wp:positionV relativeFrom="paragraph">
                    <wp:posOffset>-1610</wp:posOffset>
                  </wp:positionV>
                  <wp:extent cx="937880" cy="967563"/>
                  <wp:effectExtent l="19050" t="0" r="0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80" cy="967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vertAlign w:val="superscript"/>
              </w:rPr>
              <w:t>1</w:t>
            </w:r>
            <w:r>
              <w:t xml:space="preserve">H NMR (400 </w:t>
            </w:r>
            <w:proofErr w:type="spellStart"/>
            <w:r>
              <w:t>mHz</w:t>
            </w:r>
            <w:proofErr w:type="spellEnd"/>
            <w:r>
              <w:t>, CDCl</w:t>
            </w:r>
            <w:r>
              <w:rPr>
                <w:vertAlign w:val="subscript"/>
              </w:rPr>
              <w:t>3</w:t>
            </w:r>
            <w:r>
              <w:t>) δ (</w:t>
            </w:r>
            <w:proofErr w:type="spellStart"/>
            <w:r>
              <w:t>ppm</w:t>
            </w:r>
            <w:proofErr w:type="spellEnd"/>
            <w:r>
              <w:t xml:space="preserve">) 3.02 (2H, </w:t>
            </w:r>
            <w:proofErr w:type="spellStart"/>
            <w:r>
              <w:t>dt</w:t>
            </w:r>
            <w:proofErr w:type="spellEnd"/>
            <w:r>
              <w:t xml:space="preserve">, J =3.0 Hz, 1.5 Hz), </w:t>
            </w:r>
            <w:r>
              <w:rPr>
                <w:rFonts w:ascii="Calibri" w:eastAsia="Times New Roman" w:hAnsi="Calibri" w:cs="Times New Roman"/>
                <w:color w:val="000000"/>
              </w:rPr>
              <w:t>6.51 (2H, m), 6.62 (2H, m)</w:t>
            </w:r>
          </w:p>
        </w:tc>
      </w:tr>
    </w:tbl>
    <w:p w:rsidR="00B74E01" w:rsidRPr="005A2D6F" w:rsidRDefault="002577FE" w:rsidP="002577FE">
      <w:pPr>
        <w:pStyle w:val="Caption"/>
      </w:pPr>
      <w:r>
        <w:t xml:space="preserve">Table </w:t>
      </w:r>
      <w:fldSimple w:instr=" SEQ Table \* ARABIC ">
        <w:r w:rsidR="00E76B50">
          <w:rPr>
            <w:noProof/>
          </w:rPr>
          <w:t>1</w:t>
        </w:r>
      </w:fldSimple>
      <w:r w:rsidRPr="006455DC">
        <w:t xml:space="preserve">: NMR Peak Assignment of </w:t>
      </w:r>
      <w:proofErr w:type="spellStart"/>
      <w:r w:rsidRPr="006455DC">
        <w:t>Cyclopentadiene</w:t>
      </w:r>
      <w:proofErr w:type="spellEnd"/>
      <w:r w:rsidRPr="006455DC">
        <w:t xml:space="preserve"> (2)</w:t>
      </w:r>
    </w:p>
    <w:p w:rsidR="0060298F" w:rsidRDefault="00B72F46" w:rsidP="0060298F">
      <w:pPr>
        <w:ind w:firstLine="720"/>
      </w:pPr>
      <w:r>
        <w:rPr>
          <w:b/>
        </w:rPr>
        <w:t>7</w:t>
      </w:r>
      <w:proofErr w:type="gramStart"/>
      <w:r>
        <w:rPr>
          <w:b/>
        </w:rPr>
        <w:t>,7</w:t>
      </w:r>
      <w:proofErr w:type="gramEnd"/>
      <w:r>
        <w:rPr>
          <w:b/>
        </w:rPr>
        <w:t>-dichlorobicyclo [3.2.0]he</w:t>
      </w:r>
      <w:r w:rsidR="00930953">
        <w:rPr>
          <w:b/>
        </w:rPr>
        <w:t>pt-2-en-6-one (5)</w:t>
      </w:r>
      <w:r w:rsidR="00930953">
        <w:t xml:space="preserve"> </w:t>
      </w:r>
      <w:r w:rsidR="00D75552">
        <w:t>–</w:t>
      </w:r>
      <w:r w:rsidR="00930953">
        <w:t xml:space="preserve"> </w:t>
      </w:r>
      <w:r w:rsidR="00C130A9">
        <w:t xml:space="preserve">This reaction had to be repeated since the first attempt a broken additional funnel caused an unknown amount of </w:t>
      </w:r>
      <w:proofErr w:type="spellStart"/>
      <w:r w:rsidR="00C130A9">
        <w:t>triethylamine</w:t>
      </w:r>
      <w:proofErr w:type="spellEnd"/>
      <w:r w:rsidR="00C130A9">
        <w:t xml:space="preserve"> to be lost. The reaction was stopped and started over to ensure a proper amount of </w:t>
      </w:r>
      <w:proofErr w:type="spellStart"/>
      <w:r w:rsidR="00C130A9">
        <w:t>triethylamine</w:t>
      </w:r>
      <w:proofErr w:type="spellEnd"/>
      <w:r w:rsidR="00C130A9">
        <w:t xml:space="preserve"> was used.</w:t>
      </w:r>
      <w:r w:rsidR="00BF005C">
        <w:t xml:space="preserve"> The vacuum distillation was successful, though the process could be improved by using boiling chips and a stronger vacuum.</w:t>
      </w:r>
      <w:r w:rsidR="0015194D">
        <w:t xml:space="preserve"> The reaction mechanism occurs by</w:t>
      </w:r>
      <w:r w:rsidR="0060298F">
        <w:t xml:space="preserve"> a </w:t>
      </w:r>
      <w:proofErr w:type="spellStart"/>
      <w:proofErr w:type="gramStart"/>
      <w:r w:rsidR="0060298F">
        <w:t>diels</w:t>
      </w:r>
      <w:proofErr w:type="spellEnd"/>
      <w:proofErr w:type="gramEnd"/>
      <w:r w:rsidR="0060298F">
        <w:t xml:space="preserve"> alder process with </w:t>
      </w:r>
      <w:proofErr w:type="spellStart"/>
      <w:r w:rsidR="0060298F">
        <w:t>cyclopentadiene</w:t>
      </w:r>
      <w:proofErr w:type="spellEnd"/>
      <w:r w:rsidR="0060298F">
        <w:t xml:space="preserve"> as the </w:t>
      </w:r>
      <w:proofErr w:type="spellStart"/>
      <w:r w:rsidR="0060298F">
        <w:t>diene</w:t>
      </w:r>
      <w:proofErr w:type="spellEnd"/>
      <w:r w:rsidR="0060298F">
        <w:t xml:space="preserve"> and the </w:t>
      </w:r>
      <w:proofErr w:type="spellStart"/>
      <w:r w:rsidR="0060298F">
        <w:t>dichloroketone</w:t>
      </w:r>
      <w:proofErr w:type="spellEnd"/>
      <w:r w:rsidR="0060298F">
        <w:t xml:space="preserve"> (4) as the </w:t>
      </w:r>
      <w:proofErr w:type="spellStart"/>
      <w:r w:rsidR="0060298F">
        <w:t>dienophile</w:t>
      </w:r>
      <w:proofErr w:type="spellEnd"/>
      <w:r w:rsidR="0060298F">
        <w:t>.</w:t>
      </w:r>
      <w:r w:rsidR="009208F1">
        <w:t xml:space="preserve"> </w:t>
      </w:r>
      <w:r w:rsidR="00A84B06">
        <w:t xml:space="preserve">Since </w:t>
      </w:r>
      <w:proofErr w:type="spellStart"/>
      <w:r w:rsidR="00A84B06">
        <w:t>dichloroketene</w:t>
      </w:r>
      <w:proofErr w:type="spellEnd"/>
      <w:r w:rsidR="00A84B06">
        <w:t xml:space="preserve"> (3) is highly reactive and unstable, it is produced in situ with </w:t>
      </w:r>
      <w:proofErr w:type="spellStart"/>
      <w:r w:rsidR="00A84B06">
        <w:t>triethylamine</w:t>
      </w:r>
      <w:proofErr w:type="spellEnd"/>
      <w:r w:rsidR="00A84B06">
        <w:t xml:space="preserve"> and </w:t>
      </w:r>
      <w:proofErr w:type="spellStart"/>
      <w:r w:rsidR="00A84B06">
        <w:t>dichloroacetyl</w:t>
      </w:r>
      <w:proofErr w:type="spellEnd"/>
      <w:r w:rsidR="00A84B06">
        <w:t xml:space="preserve"> chloride.</w:t>
      </w:r>
    </w:p>
    <w:p w:rsidR="00063959" w:rsidRPr="00651F64" w:rsidRDefault="00063959" w:rsidP="00930953">
      <w:pPr>
        <w:ind w:firstLine="720"/>
      </w:pPr>
      <w:r>
        <w:t>Notable FTIR peaks at 1607cm</w:t>
      </w:r>
      <w:r>
        <w:rPr>
          <w:vertAlign w:val="superscript"/>
        </w:rPr>
        <w:t>-1</w:t>
      </w:r>
      <w:r>
        <w:t xml:space="preserve"> (C=C) and 1802cm</w:t>
      </w:r>
      <w:r>
        <w:rPr>
          <w:vertAlign w:val="superscript"/>
        </w:rPr>
        <w:t>-1</w:t>
      </w:r>
      <w:r>
        <w:t xml:space="preserve"> (C=O) further suggest successful synthesis of (5) </w:t>
      </w:r>
      <w:r w:rsidR="00651F64">
        <w:t>and coincide with published values</w:t>
      </w:r>
      <w:r w:rsidR="00EF3199">
        <w:rPr>
          <w:vertAlign w:val="superscript"/>
        </w:rPr>
        <w:t>2</w:t>
      </w:r>
      <w:proofErr w:type="gramStart"/>
      <w:r w:rsidR="00EF3199">
        <w:rPr>
          <w:vertAlign w:val="superscript"/>
        </w:rPr>
        <w:t>,7</w:t>
      </w:r>
      <w:proofErr w:type="gramEnd"/>
      <w:r w:rsidR="00DD2C24">
        <w:t>. NMR Peak assig</w:t>
      </w:r>
      <w:r w:rsidR="007637A4">
        <w:t xml:space="preserve">nments are addressed in table 2.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C215E" w:rsidTr="008C215E">
        <w:tc>
          <w:tcPr>
            <w:tcW w:w="4788" w:type="dxa"/>
          </w:tcPr>
          <w:p w:rsidR="008C215E" w:rsidRDefault="008C215E" w:rsidP="00930953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2392</wp:posOffset>
                  </wp:positionV>
                  <wp:extent cx="1796902" cy="1180214"/>
                  <wp:effectExtent l="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902" cy="1180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2F46">
              <w:rPr>
                <w:rFonts w:ascii="Calibri" w:eastAsia="Times New Roman" w:hAnsi="Calibri" w:cs="Times New Roman"/>
                <w:color w:val="000000"/>
                <w:vertAlign w:val="superscript"/>
              </w:rPr>
              <w:t>13</w:t>
            </w:r>
            <w:r w:rsidR="00B72F46">
              <w:rPr>
                <w:rFonts w:ascii="Calibri" w:eastAsia="Times New Roman" w:hAnsi="Calibri" w:cs="Times New Roman"/>
                <w:color w:val="000000"/>
              </w:rPr>
              <w:t>C NMR (</w:t>
            </w:r>
            <w:r w:rsidR="00B72F46">
              <w:t xml:space="preserve">100 </w:t>
            </w:r>
            <w:proofErr w:type="spellStart"/>
            <w:r w:rsidR="00B72F46">
              <w:t>mHz</w:t>
            </w:r>
            <w:proofErr w:type="spellEnd"/>
            <w:r w:rsidR="00B72F46">
              <w:t>, CDCl</w:t>
            </w:r>
            <w:r w:rsidR="00B72F46">
              <w:rPr>
                <w:vertAlign w:val="subscript"/>
              </w:rPr>
              <w:t>3</w:t>
            </w:r>
            <w:r w:rsidR="00B72F46">
              <w:t>) δ (</w:t>
            </w:r>
            <w:proofErr w:type="spellStart"/>
            <w:r w:rsidR="00B72F46">
              <w:t>ppm</w:t>
            </w:r>
            <w:proofErr w:type="spellEnd"/>
            <w:r w:rsidR="00B72F46">
              <w:t>) 34.7, 58.6, 59.6, 88.1, 128.5, 136.7, 197.8</w:t>
            </w:r>
          </w:p>
        </w:tc>
        <w:tc>
          <w:tcPr>
            <w:tcW w:w="4788" w:type="dxa"/>
          </w:tcPr>
          <w:p w:rsidR="008C215E" w:rsidRDefault="00B72F46" w:rsidP="00B72F46">
            <w:pPr>
              <w:keepNext/>
            </w:pPr>
            <w:r>
              <w:rPr>
                <w:vertAlign w:val="superscript"/>
              </w:rPr>
              <w:t>1</w:t>
            </w:r>
            <w:r>
              <w:t xml:space="preserve">H NMR (400 </w:t>
            </w:r>
            <w:proofErr w:type="spellStart"/>
            <w:r>
              <w:t>mHz</w:t>
            </w:r>
            <w:proofErr w:type="spellEnd"/>
            <w:r>
              <w:t>, CDCl</w:t>
            </w:r>
            <w:r>
              <w:rPr>
                <w:vertAlign w:val="subscript"/>
              </w:rPr>
              <w:t>3</w:t>
            </w:r>
            <w:r>
              <w:t>) δ (</w:t>
            </w:r>
            <w:proofErr w:type="spellStart"/>
            <w:r>
              <w:t>ppm</w:t>
            </w:r>
            <w:proofErr w:type="spellEnd"/>
            <w:r>
              <w:t>) 2.60 (2H, m), 4.07 (1H, m), 4.26 (1H, m), 5.79 (1H, m), 6.03 (1H, m)</w:t>
            </w:r>
            <w:r w:rsidR="008C215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532</wp:posOffset>
                  </wp:positionH>
                  <wp:positionV relativeFrom="paragraph">
                    <wp:posOffset>2392</wp:posOffset>
                  </wp:positionV>
                  <wp:extent cx="1722474" cy="1180214"/>
                  <wp:effectExtent l="0" t="0" r="0" b="0"/>
                  <wp:wrapSquare wrapText="bothSides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474" cy="1180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C215E" w:rsidRPr="00063959" w:rsidRDefault="00B72F46" w:rsidP="00B72F46">
      <w:pPr>
        <w:pStyle w:val="Caption"/>
      </w:pPr>
      <w:r>
        <w:t xml:space="preserve">Table </w:t>
      </w:r>
      <w:fldSimple w:instr=" SEQ Table \* ARABIC ">
        <w:r w:rsidR="00E76B50">
          <w:rPr>
            <w:noProof/>
          </w:rPr>
          <w:t>2</w:t>
        </w:r>
      </w:fldSimple>
      <w:r>
        <w:t>: NMR Peak Assignment of (5)</w:t>
      </w:r>
    </w:p>
    <w:p w:rsidR="006506E9" w:rsidRPr="0063099E" w:rsidRDefault="00D75552" w:rsidP="00930953">
      <w:pPr>
        <w:ind w:firstLine="720"/>
      </w:pPr>
      <w:proofErr w:type="spellStart"/>
      <w:r>
        <w:rPr>
          <w:b/>
        </w:rPr>
        <w:t>Tropolone</w:t>
      </w:r>
      <w:proofErr w:type="spellEnd"/>
      <w:r>
        <w:rPr>
          <w:b/>
        </w:rPr>
        <w:t xml:space="preserve"> (6)</w:t>
      </w:r>
      <w:r>
        <w:t xml:space="preserve"> </w:t>
      </w:r>
      <w:r w:rsidR="00F263A4">
        <w:t>–</w:t>
      </w:r>
      <w:r w:rsidR="006506E9">
        <w:t xml:space="preserve"> The mechanism of formation o</w:t>
      </w:r>
      <w:r w:rsidR="0060298F">
        <w:t xml:space="preserve">f </w:t>
      </w:r>
      <w:proofErr w:type="spellStart"/>
      <w:r w:rsidR="0060298F">
        <w:t>tropolone</w:t>
      </w:r>
      <w:proofErr w:type="spellEnd"/>
      <w:r w:rsidR="0060298F">
        <w:t xml:space="preserve"> (6) from ketene (5) occurs by acetate attachment alpha to the </w:t>
      </w:r>
      <w:proofErr w:type="spellStart"/>
      <w:r w:rsidR="0060298F">
        <w:t>ketone</w:t>
      </w:r>
      <w:proofErr w:type="spellEnd"/>
      <w:r w:rsidR="0060298F">
        <w:t xml:space="preserve"> and </w:t>
      </w:r>
      <w:proofErr w:type="spellStart"/>
      <w:r w:rsidR="0060298F">
        <w:t>bicyclic</w:t>
      </w:r>
      <w:proofErr w:type="spellEnd"/>
      <w:r w:rsidR="0060298F">
        <w:t xml:space="preserve"> opening to a single ring system as chlorine is kicked off.</w:t>
      </w:r>
      <w:r w:rsidR="00E828E8">
        <w:rPr>
          <w:vertAlign w:val="superscript"/>
        </w:rPr>
        <w:t>2</w:t>
      </w:r>
      <w:r w:rsidR="0060298F">
        <w:t xml:space="preserve"> </w:t>
      </w:r>
      <w:r w:rsidR="0063099E">
        <w:t xml:space="preserve">The mechanism is </w:t>
      </w:r>
      <w:proofErr w:type="spellStart"/>
      <w:r w:rsidR="0063099E">
        <w:t>consistant</w:t>
      </w:r>
      <w:proofErr w:type="spellEnd"/>
      <w:r w:rsidR="0063099E">
        <w:t xml:space="preserve"> with </w:t>
      </w:r>
      <w:proofErr w:type="spellStart"/>
      <w:r w:rsidR="0063099E">
        <w:t>Grob</w:t>
      </w:r>
      <w:proofErr w:type="spellEnd"/>
      <w:r w:rsidR="0063099E">
        <w:t xml:space="preserve"> fragmentation in which an elimination occurs with an </w:t>
      </w:r>
      <w:proofErr w:type="spellStart"/>
      <w:r w:rsidR="0063099E">
        <w:t>electrofuge</w:t>
      </w:r>
      <w:proofErr w:type="spellEnd"/>
      <w:r w:rsidR="0063099E">
        <w:t xml:space="preserve"> and </w:t>
      </w:r>
      <w:proofErr w:type="spellStart"/>
      <w:r w:rsidR="0063099E">
        <w:t>nucleofuge</w:t>
      </w:r>
      <w:proofErr w:type="spellEnd"/>
      <w:r w:rsidR="0063099E">
        <w:t xml:space="preserve"> in 1</w:t>
      </w:r>
      <w:proofErr w:type="gramStart"/>
      <w:r w:rsidR="0063099E">
        <w:t>,3</w:t>
      </w:r>
      <w:proofErr w:type="gramEnd"/>
      <w:r w:rsidR="0063099E">
        <w:t xml:space="preserve"> position.</w:t>
      </w:r>
      <w:r w:rsidR="00E828E8">
        <w:rPr>
          <w:vertAlign w:val="superscript"/>
        </w:rPr>
        <w:t>3</w:t>
      </w:r>
    </w:p>
    <w:p w:rsidR="001373C4" w:rsidRDefault="007637A4" w:rsidP="00930953">
      <w:pPr>
        <w:ind w:firstLine="720"/>
      </w:pPr>
      <w:r>
        <w:lastRenderedPageBreak/>
        <w:t>The literature procedure</w:t>
      </w:r>
      <w:r w:rsidR="00EF3199">
        <w:rPr>
          <w:vertAlign w:val="superscript"/>
        </w:rPr>
        <w:t>7</w:t>
      </w:r>
      <w:r>
        <w:t xml:space="preserve"> called for six hour reflux, though due to time constraints the reaction was </w:t>
      </w:r>
      <w:r w:rsidR="0024743F">
        <w:t>refluxed 3 hours and stirred at room temperature for 2 days.</w:t>
      </w:r>
      <w:r w:rsidR="00AC711F">
        <w:t xml:space="preserve"> The reaction likely proceeded to </w:t>
      </w:r>
      <w:r w:rsidR="00830ADC">
        <w:t xml:space="preserve">produce </w:t>
      </w:r>
      <w:proofErr w:type="spellStart"/>
      <w:r w:rsidR="00830ADC">
        <w:t>tropolone</w:t>
      </w:r>
      <w:proofErr w:type="spellEnd"/>
      <w:r w:rsidR="00830ADC">
        <w:t>, though the workup was not successful sin</w:t>
      </w:r>
      <w:r w:rsidR="0075355C">
        <w:t xml:space="preserve">ce </w:t>
      </w:r>
      <w:r w:rsidR="00830ADC">
        <w:t xml:space="preserve">copper remained </w:t>
      </w:r>
      <w:r w:rsidR="002232AF">
        <w:t xml:space="preserve">in complex with </w:t>
      </w:r>
      <w:proofErr w:type="spellStart"/>
      <w:r w:rsidR="002232AF">
        <w:t>tropolone</w:t>
      </w:r>
      <w:proofErr w:type="spellEnd"/>
      <w:r w:rsidR="002232AF">
        <w:t xml:space="preserve">. </w:t>
      </w:r>
      <w:r w:rsidR="00E239C3">
        <w:t>Unfortunately, spectra data on the</w:t>
      </w:r>
      <w:r w:rsidR="002232AF">
        <w:t xml:space="preserve"> </w:t>
      </w:r>
      <w:proofErr w:type="spellStart"/>
      <w:r w:rsidR="002232AF">
        <w:t>tropolone</w:t>
      </w:r>
      <w:proofErr w:type="spellEnd"/>
      <w:r w:rsidR="002232AF">
        <w:t xml:space="preserve"> copper complex is not available for comparison, so </w:t>
      </w:r>
      <w:proofErr w:type="gramStart"/>
      <w:r w:rsidR="002232AF">
        <w:t xml:space="preserve">spectra </w:t>
      </w:r>
      <w:r w:rsidR="00D675C1">
        <w:t>is</w:t>
      </w:r>
      <w:proofErr w:type="gramEnd"/>
      <w:r w:rsidR="002232AF">
        <w:t xml:space="preserve"> difficult to analyze. Pure </w:t>
      </w:r>
      <w:proofErr w:type="spellStart"/>
      <w:r w:rsidR="002232AF">
        <w:t>tropolone</w:t>
      </w:r>
      <w:proofErr w:type="spellEnd"/>
      <w:r w:rsidR="002232AF">
        <w:t xml:space="preserve"> is a white solid with melting point of 50-51°C</w:t>
      </w:r>
      <w:r w:rsidR="00DD1726">
        <w:rPr>
          <w:vertAlign w:val="superscript"/>
        </w:rPr>
        <w:t>7</w:t>
      </w:r>
      <w:r w:rsidR="002232AF">
        <w:t>, though the product isolated was a green powder with melting point of 310°C</w:t>
      </w:r>
      <w:r w:rsidR="002A7FBF">
        <w:t xml:space="preserve">. </w:t>
      </w:r>
      <w:r w:rsidR="00825E54">
        <w:t>The FTIR contains many sp2 carbon peaks at 1342cm</w:t>
      </w:r>
      <w:r w:rsidR="00825E54">
        <w:rPr>
          <w:vertAlign w:val="superscript"/>
        </w:rPr>
        <w:t>-1</w:t>
      </w:r>
      <w:r w:rsidR="00825E54">
        <w:t>, 1410cm</w:t>
      </w:r>
      <w:r w:rsidR="00825E54">
        <w:rPr>
          <w:vertAlign w:val="superscript"/>
        </w:rPr>
        <w:t>-1</w:t>
      </w:r>
      <w:r w:rsidR="00825E54">
        <w:t>, 1515cm</w:t>
      </w:r>
      <w:r w:rsidR="00825E54">
        <w:rPr>
          <w:vertAlign w:val="superscript"/>
        </w:rPr>
        <w:t>-1</w:t>
      </w:r>
      <w:r w:rsidR="00825E54">
        <w:t xml:space="preserve"> and a C=O peak at 1591cm</w:t>
      </w:r>
      <w:r w:rsidR="00825E54">
        <w:rPr>
          <w:vertAlign w:val="superscript"/>
        </w:rPr>
        <w:t>-1</w:t>
      </w:r>
      <w:r w:rsidR="00E75D3F">
        <w:t xml:space="preserve"> although it lacks an </w:t>
      </w:r>
      <w:r w:rsidR="00825E54">
        <w:t>OH peak.</w:t>
      </w:r>
      <w:r w:rsidR="00317518">
        <w:t xml:space="preserve"> This suggests that copper likely complex</w:t>
      </w:r>
      <w:r w:rsidR="00476BEC">
        <w:t>es</w:t>
      </w:r>
      <w:r w:rsidR="00317518">
        <w:t xml:space="preserve"> to </w:t>
      </w:r>
      <w:r w:rsidR="00E85ADC">
        <w:t xml:space="preserve">the hydroxyl group of </w:t>
      </w:r>
      <w:proofErr w:type="spellStart"/>
      <w:r w:rsidR="00E85ADC">
        <w:t>tropolone</w:t>
      </w:r>
      <w:proofErr w:type="spellEnd"/>
      <w:r w:rsidR="00E85ADC">
        <w:t xml:space="preserve"> </w:t>
      </w:r>
      <w:r w:rsidR="00291F2B">
        <w:t>which explains</w:t>
      </w:r>
      <w:r w:rsidR="00E85ADC">
        <w:t xml:space="preserve"> the absence of an OH peak in the IR spectrum.</w:t>
      </w:r>
      <w:r w:rsidR="009120D7">
        <w:t xml:space="preserve"> </w:t>
      </w:r>
      <w:r w:rsidR="008B7575">
        <w:t>Proton NMR has two</w:t>
      </w:r>
      <w:r w:rsidR="001373C4">
        <w:t xml:space="preserve"> peak areas of interest at 12.7</w:t>
      </w:r>
      <w:r w:rsidR="00AE11F1">
        <w:t xml:space="preserve">ppm </w:t>
      </w:r>
      <w:r w:rsidR="001373C4">
        <w:t xml:space="preserve">and 7-7.5ppm. </w:t>
      </w:r>
      <w:r w:rsidR="0089781D">
        <w:t xml:space="preserve">The 12.7ppm peak is suspect from the hydroxyl group, though it is peculiar that this </w:t>
      </w:r>
      <w:r w:rsidR="00300AF3">
        <w:t>hydrogen</w:t>
      </w:r>
      <w:r w:rsidR="0089781D">
        <w:t xml:space="preserve"> would be present in NMR and not FTIR. </w:t>
      </w:r>
      <w:r w:rsidR="00AE11F1">
        <w:t xml:space="preserve">The remaining 5 protons are </w:t>
      </w:r>
      <w:r w:rsidR="004A1563">
        <w:t>assigned to the num</w:t>
      </w:r>
      <w:r w:rsidR="00AE11F1">
        <w:t>erous peaks from 7.0-7.4</w:t>
      </w:r>
      <w:r w:rsidR="0092428A">
        <w:t>ppm</w:t>
      </w:r>
      <w:r w:rsidR="00AE11F1">
        <w:t xml:space="preserve">. </w:t>
      </w:r>
      <w:r w:rsidR="004A1563">
        <w:t>Three of the five peaks would be expected to triplets and the other two of five would be expe</w:t>
      </w:r>
      <w:r w:rsidR="0092428A">
        <w:t>cted to be doublets, though these</w:t>
      </w:r>
      <w:r w:rsidR="00784C98">
        <w:t xml:space="preserve"> exact</w:t>
      </w:r>
      <w:r w:rsidR="0092428A">
        <w:t xml:space="preserve"> splitting patters are not observed since these </w:t>
      </w:r>
      <w:proofErr w:type="spellStart"/>
      <w:r w:rsidR="0092428A">
        <w:t>unequivalent</w:t>
      </w:r>
      <w:proofErr w:type="spellEnd"/>
      <w:r w:rsidR="0092428A">
        <w:t xml:space="preserve"> p</w:t>
      </w:r>
      <w:r w:rsidR="00C66178">
        <w:t>rotons are so similar that the proton NMR</w:t>
      </w:r>
      <w:r w:rsidR="0092428A">
        <w:t xml:space="preserve"> does no</w:t>
      </w:r>
      <w:r w:rsidR="00C66178">
        <w:t xml:space="preserve">t discern them </w:t>
      </w:r>
      <w:r w:rsidR="00E73FDE">
        <w:t xml:space="preserve">clearly </w:t>
      </w:r>
      <w:r w:rsidR="00C66178">
        <w:t>from each other.</w:t>
      </w:r>
    </w:p>
    <w:p w:rsidR="00575826" w:rsidRDefault="00575826" w:rsidP="00844C4B">
      <w:r>
        <w:tab/>
      </w:r>
      <w:r w:rsidR="00496168">
        <w:t xml:space="preserve">Modification to this step would definitely aim to successfully </w:t>
      </w:r>
      <w:proofErr w:type="spellStart"/>
      <w:r w:rsidR="00496168">
        <w:t>decomplex</w:t>
      </w:r>
      <w:proofErr w:type="spellEnd"/>
      <w:r w:rsidR="00496168">
        <w:t xml:space="preserve"> </w:t>
      </w:r>
      <w:proofErr w:type="spellStart"/>
      <w:r w:rsidR="00496168">
        <w:t>tropolone</w:t>
      </w:r>
      <w:proofErr w:type="spellEnd"/>
      <w:r w:rsidR="00496168">
        <w:t xml:space="preserve"> from copper. </w:t>
      </w:r>
      <w:r w:rsidR="0042061F">
        <w:t xml:space="preserve">The </w:t>
      </w:r>
      <w:r w:rsidR="007B3F94">
        <w:t xml:space="preserve">literature </w:t>
      </w:r>
      <w:r w:rsidR="0042061F">
        <w:t>procedure</w:t>
      </w:r>
      <w:r w:rsidR="00195EEE">
        <w:rPr>
          <w:vertAlign w:val="superscript"/>
        </w:rPr>
        <w:t>7</w:t>
      </w:r>
      <w:r w:rsidR="0042061F">
        <w:t xml:space="preserve"> called for use of hydrogen sulfide to </w:t>
      </w:r>
      <w:proofErr w:type="spellStart"/>
      <w:r w:rsidR="0042061F">
        <w:t>decomplex</w:t>
      </w:r>
      <w:proofErr w:type="spellEnd"/>
      <w:r w:rsidR="0042061F">
        <w:t xml:space="preserve"> copper</w:t>
      </w:r>
      <w:r w:rsidR="006F0428">
        <w:t xml:space="preserve">, but instead an acidified sodium sulfide solution was used as </w:t>
      </w:r>
      <w:r w:rsidR="00B33E2C">
        <w:t>suggested by</w:t>
      </w:r>
      <w:r w:rsidR="006F0428">
        <w:t xml:space="preserve"> the course reader</w:t>
      </w:r>
      <w:r w:rsidR="00195EEE">
        <w:rPr>
          <w:vertAlign w:val="superscript"/>
        </w:rPr>
        <w:t>8</w:t>
      </w:r>
      <w:r w:rsidR="006F0428">
        <w:t>. The workup could be repeated by using the hydrogen sulfide s</w:t>
      </w:r>
      <w:r w:rsidR="00506B6D">
        <w:t>olution method as described by S</w:t>
      </w:r>
      <w:r w:rsidR="006F0428">
        <w:t>tevens rather than the modified procedure in the course reader.</w:t>
      </w:r>
    </w:p>
    <w:p w:rsidR="008726CF" w:rsidRPr="006F0428" w:rsidRDefault="008726CF" w:rsidP="00844C4B">
      <w:r>
        <w:tab/>
        <w:t>No final yield was reported in exper</w:t>
      </w:r>
      <w:r w:rsidR="00D05B09">
        <w:t xml:space="preserve">imental since the structure and </w:t>
      </w:r>
      <w:r>
        <w:t xml:space="preserve">molecular weight of the copper </w:t>
      </w:r>
      <w:proofErr w:type="spellStart"/>
      <w:r>
        <w:t>tropolone</w:t>
      </w:r>
      <w:proofErr w:type="spellEnd"/>
      <w:r>
        <w:t xml:space="preserve"> complex is </w:t>
      </w:r>
      <w:r w:rsidR="009E7A3C">
        <w:t>not</w:t>
      </w:r>
      <w:r>
        <w:t xml:space="preserve"> known. </w:t>
      </w:r>
      <w:r w:rsidR="00AD1883">
        <w:t xml:space="preserve">The reported </w:t>
      </w:r>
      <w:r w:rsidR="004A696D">
        <w:t xml:space="preserve">0.0816g of </w:t>
      </w:r>
      <w:r w:rsidR="00F30CA9">
        <w:t>green powder</w:t>
      </w:r>
      <w:r w:rsidR="004A696D">
        <w:t xml:space="preserve"> is notably low though due to</w:t>
      </w:r>
      <w:r>
        <w:t xml:space="preserve"> the final </w:t>
      </w:r>
      <w:proofErr w:type="spellStart"/>
      <w:r>
        <w:t>recrystalization</w:t>
      </w:r>
      <w:proofErr w:type="spellEnd"/>
      <w:r>
        <w:t xml:space="preserve"> from </w:t>
      </w:r>
      <w:r w:rsidR="00695A1B">
        <w:t>hexane</w:t>
      </w:r>
      <w:r>
        <w:t xml:space="preserve"> was performed</w:t>
      </w:r>
      <w:r w:rsidR="008A33F6">
        <w:t xml:space="preserve"> on the complex, </w:t>
      </w:r>
      <w:r w:rsidR="00FD61F7">
        <w:t>but</w:t>
      </w:r>
      <w:r w:rsidR="008A33F6">
        <w:t xml:space="preserve"> this step was intended to be performed on </w:t>
      </w:r>
      <w:proofErr w:type="spellStart"/>
      <w:r w:rsidR="008A33F6">
        <w:t>decomplexed</w:t>
      </w:r>
      <w:proofErr w:type="spellEnd"/>
      <w:r w:rsidR="008A33F6">
        <w:t xml:space="preserve"> </w:t>
      </w:r>
      <w:proofErr w:type="spellStart"/>
      <w:r w:rsidR="008A33F6">
        <w:t>tropolone</w:t>
      </w:r>
      <w:proofErr w:type="spellEnd"/>
      <w:r w:rsidR="008A33F6">
        <w:t>. This resulted in a very large loss of complex</w:t>
      </w:r>
      <w:r w:rsidR="00BE6EE1">
        <w:t xml:space="preserve"> since i</w:t>
      </w:r>
      <w:r w:rsidR="00695A1B">
        <w:t xml:space="preserve">t does not </w:t>
      </w:r>
      <w:proofErr w:type="spellStart"/>
      <w:r w:rsidR="00695A1B">
        <w:t>recrystalize</w:t>
      </w:r>
      <w:proofErr w:type="spellEnd"/>
      <w:r w:rsidR="00695A1B">
        <w:t xml:space="preserve"> ideally </w:t>
      </w:r>
      <w:r w:rsidR="00EE23A9">
        <w:t>under these conditions.</w:t>
      </w:r>
    </w:p>
    <w:p w:rsidR="00844C4B" w:rsidRDefault="00844C4B" w:rsidP="00844C4B">
      <w:r>
        <w:rPr>
          <w:b/>
        </w:rPr>
        <w:t>Conclusions</w:t>
      </w:r>
    </w:p>
    <w:p w:rsidR="00A84B06" w:rsidRPr="00A84B06" w:rsidRDefault="00A84B06" w:rsidP="00844C4B">
      <w:r>
        <w:tab/>
        <w:t xml:space="preserve"> </w:t>
      </w:r>
      <w:r w:rsidR="000B2422">
        <w:t xml:space="preserve">This method of </w:t>
      </w:r>
      <w:proofErr w:type="spellStart"/>
      <w:r w:rsidR="000B2422">
        <w:t>tropolon</w:t>
      </w:r>
      <w:r w:rsidR="00ED4CC9">
        <w:t>e</w:t>
      </w:r>
      <w:proofErr w:type="spellEnd"/>
      <w:r w:rsidR="00ED4CC9">
        <w:t xml:space="preserve"> synthesis is straight forward and uses readily available </w:t>
      </w:r>
      <w:r w:rsidR="00513F74">
        <w:t xml:space="preserve">starting compounds. </w:t>
      </w:r>
      <w:r w:rsidR="00D14804">
        <w:t xml:space="preserve">The </w:t>
      </w:r>
      <w:r w:rsidR="009C5EB6">
        <w:t xml:space="preserve">copper complex used to purify </w:t>
      </w:r>
      <w:proofErr w:type="spellStart"/>
      <w:r w:rsidR="009C5EB6">
        <w:t>tropolone</w:t>
      </w:r>
      <w:proofErr w:type="spellEnd"/>
      <w:r w:rsidR="009C5EB6">
        <w:t xml:space="preserve"> was never successfully </w:t>
      </w:r>
      <w:proofErr w:type="spellStart"/>
      <w:r w:rsidR="009C5EB6">
        <w:t>decomplexed</w:t>
      </w:r>
      <w:proofErr w:type="spellEnd"/>
      <w:r w:rsidR="009C5EB6">
        <w:t xml:space="preserve">, but despite this the successful synthesis of </w:t>
      </w:r>
      <w:proofErr w:type="spellStart"/>
      <w:r w:rsidR="009C5EB6">
        <w:t>tropolone</w:t>
      </w:r>
      <w:proofErr w:type="spellEnd"/>
      <w:r w:rsidR="009C5EB6">
        <w:t xml:space="preserve"> was believed to have been reached.</w:t>
      </w:r>
      <w:r w:rsidR="00B24A68">
        <w:t xml:space="preserve"> The route showcases interesting reaction mechanisms, though alternative routes that do not require such high </w:t>
      </w:r>
      <w:r w:rsidR="00A37CA0">
        <w:t>distillation temperatures</w:t>
      </w:r>
      <w:r w:rsidR="00B24A68">
        <w:t xml:space="preserve"> are worthy of investigation.</w:t>
      </w:r>
    </w:p>
    <w:p w:rsidR="00844C4B" w:rsidRDefault="00844C4B" w:rsidP="00844C4B">
      <w:pPr>
        <w:rPr>
          <w:b/>
        </w:rPr>
      </w:pPr>
      <w:r>
        <w:rPr>
          <w:b/>
        </w:rPr>
        <w:t>Experimental</w:t>
      </w:r>
    </w:p>
    <w:p w:rsidR="00553EBF" w:rsidRPr="006C1026" w:rsidRDefault="00844C4B" w:rsidP="00B94FFA">
      <w:pPr>
        <w:rPr>
          <w:rFonts w:ascii="Calibri" w:eastAsia="Times New Roman" w:hAnsi="Calibri" w:cs="Times New Roman"/>
          <w:color w:val="000000"/>
        </w:rPr>
      </w:pPr>
      <w:proofErr w:type="spellStart"/>
      <w:r>
        <w:rPr>
          <w:b/>
        </w:rPr>
        <w:t>Cyclopentadiene</w:t>
      </w:r>
      <w:proofErr w:type="spellEnd"/>
      <w:r>
        <w:rPr>
          <w:b/>
        </w:rPr>
        <w:t xml:space="preserve"> </w:t>
      </w:r>
      <w:r w:rsidR="002B3E0B">
        <w:rPr>
          <w:b/>
        </w:rPr>
        <w:t>(2</w:t>
      </w:r>
      <w:r>
        <w:rPr>
          <w:b/>
        </w:rPr>
        <w:t xml:space="preserve">) </w:t>
      </w:r>
      <w:r w:rsidR="00635943">
        <w:t>–</w:t>
      </w:r>
      <w:r w:rsidR="003F5AB3">
        <w:t xml:space="preserve"> </w:t>
      </w:r>
      <w:r w:rsidR="00624322">
        <w:t>D</w:t>
      </w:r>
      <w:r w:rsidR="00635943">
        <w:t xml:space="preserve">istillation of 41ml of </w:t>
      </w:r>
      <w:proofErr w:type="spellStart"/>
      <w:r w:rsidR="00635943">
        <w:t>dicyclopentadiene</w:t>
      </w:r>
      <w:proofErr w:type="spellEnd"/>
      <w:r w:rsidR="003327D9">
        <w:t xml:space="preserve"> (1)</w:t>
      </w:r>
      <w:r w:rsidR="00635943">
        <w:t xml:space="preserve"> was performed </w:t>
      </w:r>
      <w:r w:rsidR="00624322">
        <w:t xml:space="preserve">with high temperature </w:t>
      </w:r>
      <w:r w:rsidR="00D1639F">
        <w:t xml:space="preserve">oil bath and </w:t>
      </w:r>
      <w:r w:rsidR="004F29A0">
        <w:t>10.067g (157</w:t>
      </w:r>
      <w:r w:rsidR="009023A6">
        <w:t>.2</w:t>
      </w:r>
      <w:r w:rsidR="004F29A0">
        <w:t xml:space="preserve"> </w:t>
      </w:r>
      <w:proofErr w:type="spellStart"/>
      <w:r w:rsidR="00553EBF">
        <w:t>mmol</w:t>
      </w:r>
      <w:proofErr w:type="spellEnd"/>
      <w:r w:rsidR="00553EBF">
        <w:t xml:space="preserve">) </w:t>
      </w:r>
      <w:proofErr w:type="spellStart"/>
      <w:r w:rsidR="00D1639F">
        <w:t>cyclopentadiene</w:t>
      </w:r>
      <w:proofErr w:type="spellEnd"/>
      <w:r w:rsidR="003327D9">
        <w:t xml:space="preserve"> (2)</w:t>
      </w:r>
      <w:r w:rsidR="00D1639F">
        <w:t xml:space="preserve"> </w:t>
      </w:r>
      <w:r w:rsidR="00630B3C">
        <w:t>was collected</w:t>
      </w:r>
      <w:r w:rsidR="00D1639F">
        <w:t xml:space="preserve"> over ice</w:t>
      </w:r>
      <w:r w:rsidR="00553EBF">
        <w:t xml:space="preserve"> as a clear liquid with strong irritating odor</w:t>
      </w:r>
      <w:r w:rsidR="00D1639F">
        <w:t>. Oil bath and inter</w:t>
      </w:r>
      <w:r w:rsidR="00304ECE">
        <w:t>nal distillation temperature were</w:t>
      </w:r>
      <w:r w:rsidR="00D1639F">
        <w:t xml:space="preserve"> monitored</w:t>
      </w:r>
      <w:r w:rsidR="00553EBF">
        <w:t xml:space="preserve"> at 180°-</w:t>
      </w:r>
      <w:r w:rsidR="00D1639F">
        <w:t>240°</w:t>
      </w:r>
      <w:r w:rsidR="003E1112">
        <w:t xml:space="preserve">C </w:t>
      </w:r>
      <w:r w:rsidR="00553EBF">
        <w:t>and</w:t>
      </w:r>
      <w:r w:rsidR="00D1639F">
        <w:t xml:space="preserve"> 35°</w:t>
      </w:r>
      <w:r w:rsidR="007F6DCD">
        <w:t>-8</w:t>
      </w:r>
      <w:r w:rsidR="00D1639F">
        <w:t>0°</w:t>
      </w:r>
      <w:r w:rsidR="00624322">
        <w:t>C</w:t>
      </w:r>
      <w:r w:rsidR="00553EBF">
        <w:t xml:space="preserve"> respectively</w:t>
      </w:r>
      <w:r w:rsidR="00D1639F">
        <w:t xml:space="preserve">. </w:t>
      </w:r>
      <w:proofErr w:type="spellStart"/>
      <w:r w:rsidR="00553EBF">
        <w:t>C</w:t>
      </w:r>
      <w:r w:rsidR="003E1112">
        <w:t>yclopentadiene</w:t>
      </w:r>
      <w:proofErr w:type="spellEnd"/>
      <w:r w:rsidR="003E1112">
        <w:t xml:space="preserve"> </w:t>
      </w:r>
      <w:r w:rsidR="003327D9">
        <w:t xml:space="preserve">(2) </w:t>
      </w:r>
      <w:r w:rsidR="00553EBF">
        <w:t xml:space="preserve">was stored under </w:t>
      </w:r>
      <w:r w:rsidR="002C7C0D">
        <w:t>nitrogen</w:t>
      </w:r>
      <w:r w:rsidR="00553EBF">
        <w:t xml:space="preserve"> at 0</w:t>
      </w:r>
      <w:r w:rsidR="00553EBF">
        <w:rPr>
          <w:vertAlign w:val="superscript"/>
        </w:rPr>
        <w:t>0</w:t>
      </w:r>
      <w:r w:rsidR="00553EBF">
        <w:t>C.</w:t>
      </w:r>
      <w:r w:rsidR="00363E4F">
        <w:t xml:space="preserve"> FT-IR v(cm</w:t>
      </w:r>
      <w:r w:rsidR="00363E4F">
        <w:softHyphen/>
      </w:r>
      <w:r w:rsidR="00363E4F">
        <w:rPr>
          <w:vertAlign w:val="superscript"/>
        </w:rPr>
        <w:t>-1</w:t>
      </w:r>
      <w:r w:rsidR="00363E4F">
        <w:t xml:space="preserve">) </w:t>
      </w:r>
      <w:r w:rsidR="00085DB9">
        <w:t xml:space="preserve">1023 (w), 1252 (w), 1339 (m), 1360 (w), 1439 (w), 2884 (m), 2867 (m), 2927 (s), 2961 (s), 3046 (m); </w:t>
      </w:r>
      <w:r w:rsidR="00085DB9">
        <w:rPr>
          <w:vertAlign w:val="superscript"/>
        </w:rPr>
        <w:t>1</w:t>
      </w:r>
      <w:r w:rsidR="006C1026">
        <w:t xml:space="preserve">H </w:t>
      </w:r>
      <w:r w:rsidR="006C1026">
        <w:lastRenderedPageBreak/>
        <w:t xml:space="preserve">NMR (400 </w:t>
      </w:r>
      <w:proofErr w:type="spellStart"/>
      <w:r w:rsidR="006C1026">
        <w:t>m</w:t>
      </w:r>
      <w:r w:rsidR="00085DB9">
        <w:t>Hz</w:t>
      </w:r>
      <w:proofErr w:type="spellEnd"/>
      <w:r w:rsidR="00085DB9">
        <w:t>, CDCl</w:t>
      </w:r>
      <w:r w:rsidR="00085DB9">
        <w:rPr>
          <w:vertAlign w:val="subscript"/>
        </w:rPr>
        <w:t>3</w:t>
      </w:r>
      <w:r w:rsidR="00085DB9">
        <w:t>) δ (</w:t>
      </w:r>
      <w:proofErr w:type="spellStart"/>
      <w:r w:rsidR="00085DB9">
        <w:t>ppm</w:t>
      </w:r>
      <w:proofErr w:type="spellEnd"/>
      <w:r w:rsidR="00085DB9">
        <w:t xml:space="preserve">) </w:t>
      </w:r>
      <w:r w:rsidR="00B94FFA">
        <w:t>3.02</w:t>
      </w:r>
      <w:r w:rsidR="00085DB9">
        <w:t xml:space="preserve"> (</w:t>
      </w:r>
      <w:r w:rsidR="005912D2">
        <w:t>2</w:t>
      </w:r>
      <w:r w:rsidR="00085DB9">
        <w:t xml:space="preserve">H, </w:t>
      </w:r>
      <w:proofErr w:type="spellStart"/>
      <w:r w:rsidR="006C1026">
        <w:t>dt</w:t>
      </w:r>
      <w:proofErr w:type="spellEnd"/>
      <w:r w:rsidR="00085DB9">
        <w:t>, J</w:t>
      </w:r>
      <w:r w:rsidR="006D7BF8">
        <w:t xml:space="preserve"> =3.0 Hz, 1.5 Hz</w:t>
      </w:r>
      <w:r w:rsidR="00085DB9">
        <w:t>),</w:t>
      </w:r>
      <w:r w:rsidR="00B94FFA">
        <w:t xml:space="preserve"> </w:t>
      </w:r>
      <w:r w:rsidR="00B94FFA">
        <w:rPr>
          <w:rFonts w:ascii="Calibri" w:eastAsia="Times New Roman" w:hAnsi="Calibri" w:cs="Times New Roman"/>
          <w:color w:val="000000"/>
        </w:rPr>
        <w:t>6.5</w:t>
      </w:r>
      <w:r w:rsidR="006C1026">
        <w:rPr>
          <w:rFonts w:ascii="Calibri" w:eastAsia="Times New Roman" w:hAnsi="Calibri" w:cs="Times New Roman"/>
          <w:color w:val="000000"/>
        </w:rPr>
        <w:t xml:space="preserve">1 (2H, m), 6.62 (2H, m); </w:t>
      </w:r>
      <w:r w:rsidR="006C1026">
        <w:rPr>
          <w:rFonts w:ascii="Calibri" w:eastAsia="Times New Roman" w:hAnsi="Calibri" w:cs="Times New Roman"/>
          <w:color w:val="000000"/>
          <w:vertAlign w:val="superscript"/>
        </w:rPr>
        <w:t>13</w:t>
      </w:r>
      <w:r w:rsidR="006C1026">
        <w:rPr>
          <w:rFonts w:ascii="Calibri" w:eastAsia="Times New Roman" w:hAnsi="Calibri" w:cs="Times New Roman"/>
          <w:color w:val="000000"/>
        </w:rPr>
        <w:t>C NMR (</w:t>
      </w:r>
      <w:r w:rsidR="006C1026">
        <w:t xml:space="preserve">100 </w:t>
      </w:r>
      <w:proofErr w:type="spellStart"/>
      <w:r w:rsidR="006C1026">
        <w:t>mHz</w:t>
      </w:r>
      <w:proofErr w:type="spellEnd"/>
      <w:r w:rsidR="006C1026">
        <w:t>, CDCl</w:t>
      </w:r>
      <w:r w:rsidR="006C1026">
        <w:rPr>
          <w:vertAlign w:val="subscript"/>
        </w:rPr>
        <w:t>3</w:t>
      </w:r>
      <w:r w:rsidR="006C1026">
        <w:t>) δ (</w:t>
      </w:r>
      <w:proofErr w:type="spellStart"/>
      <w:r w:rsidR="006C1026">
        <w:t>ppm</w:t>
      </w:r>
      <w:proofErr w:type="spellEnd"/>
      <w:r w:rsidR="006C1026">
        <w:t>) 41.6, 132.3, 133.2.</w:t>
      </w:r>
    </w:p>
    <w:p w:rsidR="000013F4" w:rsidRDefault="00A431F0" w:rsidP="00553EBF">
      <w:pPr>
        <w:ind w:firstLine="720"/>
      </w:pPr>
      <w:r>
        <w:rPr>
          <w:b/>
        </w:rPr>
        <w:t>7</w:t>
      </w:r>
      <w:proofErr w:type="gramStart"/>
      <w:r>
        <w:rPr>
          <w:b/>
        </w:rPr>
        <w:t>,7</w:t>
      </w:r>
      <w:proofErr w:type="gramEnd"/>
      <w:r>
        <w:rPr>
          <w:b/>
        </w:rPr>
        <w:t>-dichlorobicyclo [3.2.0]he</w:t>
      </w:r>
      <w:r w:rsidR="00844C4B">
        <w:rPr>
          <w:b/>
        </w:rPr>
        <w:t>pt-2-en-6-one</w:t>
      </w:r>
      <w:r w:rsidR="002B3E0B">
        <w:rPr>
          <w:b/>
        </w:rPr>
        <w:t xml:space="preserve"> (5</w:t>
      </w:r>
      <w:r w:rsidR="00844C4B">
        <w:rPr>
          <w:b/>
        </w:rPr>
        <w:t>)</w:t>
      </w:r>
      <w:r w:rsidR="003E1112">
        <w:rPr>
          <w:b/>
        </w:rPr>
        <w:t xml:space="preserve"> </w:t>
      </w:r>
      <w:r w:rsidR="00C93A8A">
        <w:t>Charged</w:t>
      </w:r>
      <w:r w:rsidR="00CC1FC7">
        <w:t xml:space="preserve"> </w:t>
      </w:r>
      <w:r w:rsidR="003739C0">
        <w:t>a 250</w:t>
      </w:r>
      <w:r w:rsidR="00B710D6">
        <w:t>m</w:t>
      </w:r>
      <w:r w:rsidR="00EC41AD">
        <w:t>L</w:t>
      </w:r>
      <w:r w:rsidR="00B710D6">
        <w:t xml:space="preserve"> round bottom</w:t>
      </w:r>
      <w:r w:rsidR="00CC1FC7">
        <w:t xml:space="preserve"> flask</w:t>
      </w:r>
      <w:r w:rsidR="00B710D6">
        <w:t xml:space="preserve"> </w:t>
      </w:r>
      <w:r w:rsidR="00C93A8A">
        <w:t xml:space="preserve">with </w:t>
      </w:r>
      <w:r w:rsidR="00CC1FC7">
        <w:t xml:space="preserve">8.6308g (0.13468 mol) of </w:t>
      </w:r>
      <w:proofErr w:type="spellStart"/>
      <w:r w:rsidR="00CC1FC7">
        <w:t>cyclopentadiene</w:t>
      </w:r>
      <w:proofErr w:type="spellEnd"/>
      <w:r w:rsidR="00940D5C">
        <w:t xml:space="preserve">, </w:t>
      </w:r>
      <w:r w:rsidR="00CC1FC7">
        <w:t xml:space="preserve">3.4ml </w:t>
      </w:r>
      <w:proofErr w:type="spellStart"/>
      <w:r w:rsidR="00CC1FC7">
        <w:t>dichloroacety</w:t>
      </w:r>
      <w:r w:rsidR="00F262F1">
        <w:t>l</w:t>
      </w:r>
      <w:proofErr w:type="spellEnd"/>
      <w:r w:rsidR="00F262F1">
        <w:t xml:space="preserve"> dichloride (44.7m</w:t>
      </w:r>
      <w:r w:rsidR="00940D5C">
        <w:t>mol), and 50mL</w:t>
      </w:r>
      <w:r w:rsidR="00B710D6">
        <w:t xml:space="preserve"> of hexane. </w:t>
      </w:r>
      <w:r w:rsidR="00BB7E84">
        <w:t>A</w:t>
      </w:r>
      <w:r w:rsidR="00641FA6">
        <w:t xml:space="preserve">n addition funnel with </w:t>
      </w:r>
      <w:r w:rsidR="003739C0">
        <w:t xml:space="preserve">6.23mL of </w:t>
      </w:r>
      <w:proofErr w:type="spellStart"/>
      <w:r w:rsidR="00EA0FFB">
        <w:t>triethylamine</w:t>
      </w:r>
      <w:proofErr w:type="spellEnd"/>
      <w:r w:rsidR="003739C0">
        <w:t xml:space="preserve"> in 50ml hexane</w:t>
      </w:r>
      <w:r w:rsidR="00D5774A">
        <w:t xml:space="preserve"> was added</w:t>
      </w:r>
      <w:r w:rsidR="00BB7E84">
        <w:t xml:space="preserve"> </w:t>
      </w:r>
      <w:proofErr w:type="spellStart"/>
      <w:r w:rsidR="00985091">
        <w:t>dropwise</w:t>
      </w:r>
      <w:proofErr w:type="spellEnd"/>
      <w:r w:rsidR="00985091">
        <w:t xml:space="preserve"> </w:t>
      </w:r>
      <w:r w:rsidR="00BB7E84">
        <w:t xml:space="preserve">for </w:t>
      </w:r>
      <w:r w:rsidR="007F6D8F">
        <w:t xml:space="preserve">1 hour 5 minutes under </w:t>
      </w:r>
      <w:r w:rsidR="009B06C6">
        <w:t>nitrogen</w:t>
      </w:r>
      <w:r w:rsidR="004253FA">
        <w:t xml:space="preserve"> </w:t>
      </w:r>
      <w:r w:rsidR="000A7352">
        <w:t>and s</w:t>
      </w:r>
      <w:r w:rsidR="005C15E3">
        <w:t>tirred</w:t>
      </w:r>
      <w:r w:rsidR="00C72623">
        <w:t xml:space="preserve"> </w:t>
      </w:r>
      <w:r w:rsidR="005C15E3">
        <w:t>for 2 days at room temperature</w:t>
      </w:r>
      <w:r w:rsidR="00316D80">
        <w:t>. The</w:t>
      </w:r>
      <w:r w:rsidR="001A7414">
        <w:t xml:space="preserve"> resulting</w:t>
      </w:r>
      <w:r w:rsidR="005C15E3">
        <w:t xml:space="preserve"> white and brown mixture </w:t>
      </w:r>
      <w:r w:rsidR="00316D80">
        <w:t xml:space="preserve">was </w:t>
      </w:r>
      <w:proofErr w:type="gramStart"/>
      <w:r w:rsidR="00316D80">
        <w:t>vacuum</w:t>
      </w:r>
      <w:proofErr w:type="gramEnd"/>
      <w:r w:rsidR="00316D80">
        <w:t xml:space="preserve"> filtered</w:t>
      </w:r>
      <w:r w:rsidR="00F262F1">
        <w:t xml:space="preserve"> and washed with cold hexane</w:t>
      </w:r>
      <w:r w:rsidR="00E7580D">
        <w:t xml:space="preserve">. </w:t>
      </w:r>
      <w:r w:rsidR="00F74CDD">
        <w:t xml:space="preserve">Solvent was removed to </w:t>
      </w:r>
      <w:r w:rsidR="00F262F1">
        <w:t xml:space="preserve">an orange liquid. </w:t>
      </w:r>
      <w:r w:rsidR="00E7580D">
        <w:t xml:space="preserve">Vacuum distillation was performed with external oil bath temperature ranging from 130°-195°C and </w:t>
      </w:r>
      <w:r w:rsidR="009B06C6">
        <w:t>internal temperature of 81°-110</w:t>
      </w:r>
      <w:r w:rsidR="00E7580D">
        <w:t xml:space="preserve">°C. </w:t>
      </w:r>
      <w:r w:rsidR="006831BF">
        <w:t>The collected</w:t>
      </w:r>
      <w:r w:rsidR="000013F4">
        <w:t xml:space="preserve"> yellow liquid resulted in </w:t>
      </w:r>
      <w:r w:rsidR="005E190F">
        <w:t>6.62g (37mmol) at 84</w:t>
      </w:r>
      <w:r w:rsidR="00B20CEA">
        <w:t xml:space="preserve">% yield of </w:t>
      </w:r>
      <w:r w:rsidR="00855620">
        <w:t>(</w:t>
      </w:r>
      <w:r w:rsidR="00B20CEA">
        <w:t>5</w:t>
      </w:r>
      <w:r w:rsidR="00855620">
        <w:t>)</w:t>
      </w:r>
      <w:r w:rsidR="00B20CEA">
        <w:t>.</w:t>
      </w:r>
      <w:r w:rsidR="00766225">
        <w:t xml:space="preserve"> FT-IR v(cm</w:t>
      </w:r>
      <w:r w:rsidR="00766225">
        <w:softHyphen/>
      </w:r>
      <w:r w:rsidR="00766225">
        <w:rPr>
          <w:vertAlign w:val="superscript"/>
        </w:rPr>
        <w:t>-1</w:t>
      </w:r>
      <w:r w:rsidR="00766225">
        <w:t xml:space="preserve">) 1207 (m), 1070 (w), 1107 (w), 1125 (w), 1168 (w), 1235 (w), 1257 (w), 1291 (w), 1344(w), 1441(w), 1607 (w), 1802 (s), 2855 (w), 2924 (w), 2966 (w), 3061 (w); </w:t>
      </w:r>
      <w:r w:rsidR="00766225">
        <w:rPr>
          <w:vertAlign w:val="superscript"/>
        </w:rPr>
        <w:t>1</w:t>
      </w:r>
      <w:r w:rsidR="00766225">
        <w:t xml:space="preserve">H NMR (400 </w:t>
      </w:r>
      <w:proofErr w:type="spellStart"/>
      <w:r w:rsidR="00766225">
        <w:t>mHz</w:t>
      </w:r>
      <w:proofErr w:type="spellEnd"/>
      <w:r w:rsidR="00766225">
        <w:t>, CDCl</w:t>
      </w:r>
      <w:r w:rsidR="00766225">
        <w:rPr>
          <w:vertAlign w:val="subscript"/>
        </w:rPr>
        <w:t>3</w:t>
      </w:r>
      <w:r w:rsidR="00766225">
        <w:t>) δ (</w:t>
      </w:r>
      <w:proofErr w:type="spellStart"/>
      <w:r w:rsidR="00766225">
        <w:t>ppm</w:t>
      </w:r>
      <w:proofErr w:type="spellEnd"/>
      <w:r w:rsidR="00766225">
        <w:t xml:space="preserve">) </w:t>
      </w:r>
      <w:r w:rsidR="00B72F46">
        <w:t xml:space="preserve">2.60 (2H, m), 4.07 (1H, m), 4.26 (1H, m), 5.79 (1H, m), 6.03 (1H, m); </w:t>
      </w:r>
      <w:r w:rsidR="00B72F46">
        <w:rPr>
          <w:rFonts w:ascii="Calibri" w:eastAsia="Times New Roman" w:hAnsi="Calibri" w:cs="Times New Roman"/>
          <w:color w:val="000000"/>
          <w:vertAlign w:val="superscript"/>
        </w:rPr>
        <w:t>13</w:t>
      </w:r>
      <w:r w:rsidR="00B72F46">
        <w:rPr>
          <w:rFonts w:ascii="Calibri" w:eastAsia="Times New Roman" w:hAnsi="Calibri" w:cs="Times New Roman"/>
          <w:color w:val="000000"/>
        </w:rPr>
        <w:t>C NMR (</w:t>
      </w:r>
      <w:r w:rsidR="00B72F46">
        <w:t xml:space="preserve">100 </w:t>
      </w:r>
      <w:proofErr w:type="spellStart"/>
      <w:r w:rsidR="00B72F46">
        <w:t>mHz</w:t>
      </w:r>
      <w:proofErr w:type="spellEnd"/>
      <w:r w:rsidR="00B72F46">
        <w:t>, CDCl</w:t>
      </w:r>
      <w:r w:rsidR="00B72F46">
        <w:rPr>
          <w:vertAlign w:val="subscript"/>
        </w:rPr>
        <w:t>3</w:t>
      </w:r>
      <w:r w:rsidR="00B72F46">
        <w:t>) δ (</w:t>
      </w:r>
      <w:proofErr w:type="spellStart"/>
      <w:r w:rsidR="00B72F46">
        <w:t>ppm</w:t>
      </w:r>
      <w:proofErr w:type="spellEnd"/>
      <w:r w:rsidR="00B72F46">
        <w:t>) 34.7, 58.6, 59.6, 88.1, 128.5, 136.7, 197.8</w:t>
      </w:r>
    </w:p>
    <w:p w:rsidR="00844C4B" w:rsidRDefault="00844C4B" w:rsidP="00766225">
      <w:pPr>
        <w:ind w:firstLine="720"/>
      </w:pPr>
      <w:proofErr w:type="spellStart"/>
      <w:r>
        <w:rPr>
          <w:b/>
        </w:rPr>
        <w:t>Tropolone</w:t>
      </w:r>
      <w:proofErr w:type="spellEnd"/>
      <w:r>
        <w:rPr>
          <w:b/>
        </w:rPr>
        <w:t xml:space="preserve"> </w:t>
      </w:r>
      <w:r w:rsidR="002B3E0B">
        <w:rPr>
          <w:b/>
        </w:rPr>
        <w:t>(6</w:t>
      </w:r>
      <w:r>
        <w:rPr>
          <w:b/>
        </w:rPr>
        <w:t>)</w:t>
      </w:r>
      <w:r w:rsidR="00A24C5A">
        <w:rPr>
          <w:b/>
        </w:rPr>
        <w:t xml:space="preserve"> </w:t>
      </w:r>
      <w:proofErr w:type="gramStart"/>
      <w:r w:rsidR="00DE702E">
        <w:t>In</w:t>
      </w:r>
      <w:proofErr w:type="gramEnd"/>
      <w:r w:rsidR="00DE702E">
        <w:t xml:space="preserve"> a 100mL round bottom flask d</w:t>
      </w:r>
      <w:r w:rsidR="00EC41AD">
        <w:t xml:space="preserve">issolved 6.625g </w:t>
      </w:r>
      <w:proofErr w:type="spellStart"/>
      <w:r w:rsidR="00EC41AD">
        <w:t>NaOH</w:t>
      </w:r>
      <w:proofErr w:type="spellEnd"/>
      <w:r w:rsidR="00EC41AD">
        <w:t xml:space="preserve"> in 37mL glacial acetic ac</w:t>
      </w:r>
      <w:r w:rsidR="00DE702E">
        <w:t>id</w:t>
      </w:r>
      <w:r w:rsidR="009023A6">
        <w:t>. Added 6.483g (36.5</w:t>
      </w:r>
      <w:r w:rsidR="00E4622A">
        <w:t>mmol) of (5) and 5mL dH</w:t>
      </w:r>
      <w:r w:rsidR="00E4622A">
        <w:rPr>
          <w:vertAlign w:val="subscript"/>
        </w:rPr>
        <w:t>2</w:t>
      </w:r>
      <w:r w:rsidR="00E4622A">
        <w:t xml:space="preserve">O </w:t>
      </w:r>
      <w:r w:rsidR="00FD1209">
        <w:t xml:space="preserve">and refluxed </w:t>
      </w:r>
      <w:r w:rsidR="00F37BD4">
        <w:t>under nitrogen</w:t>
      </w:r>
      <w:r w:rsidR="008F383E">
        <w:t xml:space="preserve"> </w:t>
      </w:r>
      <w:r w:rsidR="00FD1209" w:rsidRPr="008F383E">
        <w:t>for</w:t>
      </w:r>
      <w:r w:rsidR="00FD1209">
        <w:t xml:space="preserve"> 2 hours and 40 minutes at 100°</w:t>
      </w:r>
      <w:r w:rsidR="00B247E2">
        <w:t>C</w:t>
      </w:r>
      <w:r w:rsidR="004A62F8">
        <w:t xml:space="preserve">. Then the reaction mixture was </w:t>
      </w:r>
      <w:r w:rsidR="00F74CDD">
        <w:t>s</w:t>
      </w:r>
      <w:r w:rsidR="003C2C6D">
        <w:t>tirred at room temperature for two days.</w:t>
      </w:r>
      <w:r w:rsidR="00F262F1">
        <w:t xml:space="preserve"> Poured reaction mixture into 230mL of 20% cupric sulfate solution and vacuum filtered. The filtrate was neutralized with sodium bicarbonate, extracted four times with 150mL chloroform and dried with magnesium sulfate. Removed excess solvent and </w:t>
      </w:r>
      <w:proofErr w:type="spellStart"/>
      <w:r w:rsidR="00F262F1">
        <w:t>recrystalized</w:t>
      </w:r>
      <w:proofErr w:type="spellEnd"/>
      <w:r w:rsidR="00F262F1">
        <w:t xml:space="preserve"> in hexane and chloroform</w:t>
      </w:r>
      <w:r w:rsidR="00FB0E58">
        <w:t xml:space="preserve">. The resulting green solid was </w:t>
      </w:r>
      <w:proofErr w:type="spellStart"/>
      <w:r w:rsidR="00FB0E58">
        <w:t>redissolved</w:t>
      </w:r>
      <w:proofErr w:type="spellEnd"/>
      <w:r w:rsidR="00FB0E58">
        <w:t xml:space="preserve"> in chloroform and washed with sodium sulfide solution acidified to pH 5 with 10% </w:t>
      </w:r>
      <w:proofErr w:type="spellStart"/>
      <w:r w:rsidR="00FB0E58">
        <w:t>HCl</w:t>
      </w:r>
      <w:proofErr w:type="spellEnd"/>
      <w:r w:rsidR="00FB0E58">
        <w:t>. The organic layer was filtered to remove a brown precipitate and the solvent w</w:t>
      </w:r>
      <w:r w:rsidR="008726CF">
        <w:t>as removed to result in 0.0816g</w:t>
      </w:r>
      <w:r w:rsidR="00090B81">
        <w:t xml:space="preserve"> </w:t>
      </w:r>
      <w:r w:rsidR="00FB0E58">
        <w:t xml:space="preserve">of </w:t>
      </w:r>
      <w:r w:rsidR="007049C7">
        <w:t>green powder.</w:t>
      </w:r>
      <w:r w:rsidR="00974731">
        <w:t xml:space="preserve"> FT-IR </w:t>
      </w:r>
      <w:proofErr w:type="gramStart"/>
      <w:r w:rsidR="00974731">
        <w:t>v(</w:t>
      </w:r>
      <w:proofErr w:type="gramEnd"/>
      <w:r w:rsidR="00974731">
        <w:t>cm</w:t>
      </w:r>
      <w:r w:rsidR="00974731">
        <w:softHyphen/>
      </w:r>
      <w:r w:rsidR="00974731">
        <w:rPr>
          <w:vertAlign w:val="superscript"/>
        </w:rPr>
        <w:t>-1</w:t>
      </w:r>
      <w:r w:rsidR="00974731">
        <w:t xml:space="preserve">) 419 (w), 585 (m), 710(m), 731 (m), 875 (w), 1230 (m), 1342 (s), 1410 (s), 1515(s), 1591 (m); </w:t>
      </w:r>
      <w:r w:rsidR="00974731">
        <w:rPr>
          <w:vertAlign w:val="superscript"/>
        </w:rPr>
        <w:t>1</w:t>
      </w:r>
      <w:r w:rsidR="00974731">
        <w:t xml:space="preserve">H NMR (400 </w:t>
      </w:r>
      <w:proofErr w:type="spellStart"/>
      <w:r w:rsidR="00974731">
        <w:t>mHz</w:t>
      </w:r>
      <w:proofErr w:type="spellEnd"/>
      <w:r w:rsidR="00974731">
        <w:t>, CDCl</w:t>
      </w:r>
      <w:r w:rsidR="00974731">
        <w:rPr>
          <w:vertAlign w:val="subscript"/>
        </w:rPr>
        <w:t>3</w:t>
      </w:r>
      <w:r w:rsidR="00974731">
        <w:t>) δ (</w:t>
      </w:r>
      <w:proofErr w:type="spellStart"/>
      <w:r w:rsidR="00974731">
        <w:t>ppm</w:t>
      </w:r>
      <w:proofErr w:type="spellEnd"/>
      <w:r w:rsidR="00974731">
        <w:t>)</w:t>
      </w:r>
      <w:r w:rsidR="00E03DC7">
        <w:t xml:space="preserve"> 7.00-7.44 (5H, m), 12.66 (1H,m)</w:t>
      </w:r>
      <w:r w:rsidR="002040FB">
        <w:t>; mp 310°C</w:t>
      </w:r>
    </w:p>
    <w:p w:rsidR="00A35955" w:rsidRDefault="00A35955" w:rsidP="00A35955">
      <w:pPr>
        <w:rPr>
          <w:b/>
        </w:rPr>
      </w:pPr>
      <w:r>
        <w:rPr>
          <w:b/>
        </w:rPr>
        <w:t>References</w:t>
      </w:r>
    </w:p>
    <w:p w:rsidR="00671FD8" w:rsidRDefault="00671FD8" w:rsidP="00671FD8">
      <w:pPr>
        <w:pStyle w:val="ListParagraph"/>
        <w:numPr>
          <w:ilvl w:val="0"/>
          <w:numId w:val="1"/>
        </w:numPr>
      </w:pPr>
      <w:proofErr w:type="spellStart"/>
      <w:r w:rsidRPr="00671FD8">
        <w:t>Bertelli</w:t>
      </w:r>
      <w:proofErr w:type="spellEnd"/>
      <w:r w:rsidRPr="00671FD8">
        <w:t>, D. J</w:t>
      </w:r>
      <w:r>
        <w:t xml:space="preserve">.; Andrews, T.G.; Crews, P. O. </w:t>
      </w:r>
      <w:r w:rsidRPr="00671FD8">
        <w:rPr>
          <w:i/>
        </w:rPr>
        <w:t xml:space="preserve">J. Am. </w:t>
      </w:r>
      <w:proofErr w:type="gramStart"/>
      <w:r w:rsidRPr="00671FD8">
        <w:rPr>
          <w:i/>
        </w:rPr>
        <w:t>Chem..</w:t>
      </w:r>
      <w:proofErr w:type="gramEnd"/>
      <w:r w:rsidRPr="00671FD8">
        <w:rPr>
          <w:i/>
        </w:rPr>
        <w:t xml:space="preserve"> Soc.</w:t>
      </w:r>
      <w:r>
        <w:t xml:space="preserve"> </w:t>
      </w:r>
      <w:r w:rsidRPr="00671FD8">
        <w:rPr>
          <w:b/>
        </w:rPr>
        <w:t>1969</w:t>
      </w:r>
      <w:r>
        <w:t xml:space="preserve">, </w:t>
      </w:r>
      <w:r w:rsidRPr="00671FD8">
        <w:rPr>
          <w:i/>
        </w:rPr>
        <w:t>91</w:t>
      </w:r>
      <w:r>
        <w:t>, 5286</w:t>
      </w:r>
      <w:r w:rsidR="00A84C19">
        <w:t>.</w:t>
      </w:r>
    </w:p>
    <w:p w:rsidR="00671FD8" w:rsidRDefault="00A84C19" w:rsidP="00671FD8">
      <w:pPr>
        <w:pStyle w:val="ListParagraph"/>
        <w:numPr>
          <w:ilvl w:val="0"/>
          <w:numId w:val="1"/>
        </w:numPr>
      </w:pPr>
      <w:proofErr w:type="spellStart"/>
      <w:r>
        <w:t>Barlett</w:t>
      </w:r>
      <w:proofErr w:type="spellEnd"/>
      <w:r>
        <w:t xml:space="preserve">, P.D.; Ando, T. </w:t>
      </w:r>
      <w:r>
        <w:rPr>
          <w:i/>
        </w:rPr>
        <w:t>J. Am. Chem. Soc.</w:t>
      </w:r>
      <w:r>
        <w:t xml:space="preserve"> </w:t>
      </w:r>
      <w:r>
        <w:rPr>
          <w:b/>
        </w:rPr>
        <w:t>1970</w:t>
      </w:r>
      <w:r>
        <w:t xml:space="preserve">, </w:t>
      </w:r>
      <w:r>
        <w:rPr>
          <w:i/>
        </w:rPr>
        <w:t>92</w:t>
      </w:r>
      <w:r>
        <w:t>, 7518.</w:t>
      </w:r>
    </w:p>
    <w:p w:rsidR="00A35955" w:rsidRDefault="0063099E" w:rsidP="00A35955">
      <w:pPr>
        <w:pStyle w:val="ListParagraph"/>
        <w:numPr>
          <w:ilvl w:val="0"/>
          <w:numId w:val="1"/>
        </w:numPr>
      </w:pPr>
      <w:proofErr w:type="spellStart"/>
      <w:r>
        <w:t>Grob</w:t>
      </w:r>
      <w:proofErr w:type="spellEnd"/>
      <w:r>
        <w:t xml:space="preserve">, C. A.; Baumann, W. </w:t>
      </w:r>
      <w:proofErr w:type="spellStart"/>
      <w:r w:rsidRPr="00A84C19">
        <w:rPr>
          <w:i/>
          <w:iCs/>
        </w:rPr>
        <w:t>Helv</w:t>
      </w:r>
      <w:proofErr w:type="spellEnd"/>
      <w:r w:rsidRPr="00A84C19">
        <w:rPr>
          <w:i/>
          <w:iCs/>
        </w:rPr>
        <w:t xml:space="preserve">. </w:t>
      </w:r>
      <w:proofErr w:type="spellStart"/>
      <w:proofErr w:type="gramStart"/>
      <w:r w:rsidRPr="00A84C19">
        <w:rPr>
          <w:i/>
          <w:iCs/>
        </w:rPr>
        <w:t>Chim</w:t>
      </w:r>
      <w:proofErr w:type="spellEnd"/>
      <w:r w:rsidRPr="00A84C19">
        <w:rPr>
          <w:i/>
          <w:iCs/>
        </w:rPr>
        <w:t>.</w:t>
      </w:r>
      <w:proofErr w:type="gramEnd"/>
      <w:r w:rsidRPr="00A84C19">
        <w:rPr>
          <w:i/>
          <w:iCs/>
        </w:rPr>
        <w:t xml:space="preserve"> </w:t>
      </w:r>
      <w:proofErr w:type="spellStart"/>
      <w:r w:rsidRPr="00A84C19">
        <w:rPr>
          <w:i/>
          <w:iCs/>
        </w:rPr>
        <w:t>Acta</w:t>
      </w:r>
      <w:proofErr w:type="spellEnd"/>
      <w:r>
        <w:t xml:space="preserve"> </w:t>
      </w:r>
      <w:r w:rsidRPr="00A84C19">
        <w:rPr>
          <w:b/>
          <w:bCs/>
        </w:rPr>
        <w:t>1955</w:t>
      </w:r>
      <w:r>
        <w:t xml:space="preserve">, </w:t>
      </w:r>
      <w:r w:rsidRPr="00A84C19">
        <w:rPr>
          <w:i/>
          <w:iCs/>
        </w:rPr>
        <w:t>38</w:t>
      </w:r>
      <w:r>
        <w:t>, 594.</w:t>
      </w:r>
    </w:p>
    <w:p w:rsidR="00A84C19" w:rsidRDefault="00EC521C" w:rsidP="00A35955">
      <w:pPr>
        <w:pStyle w:val="ListParagraph"/>
        <w:numPr>
          <w:ilvl w:val="0"/>
          <w:numId w:val="1"/>
        </w:numPr>
      </w:pPr>
      <w:proofErr w:type="spellStart"/>
      <w:r>
        <w:t>Dauben</w:t>
      </w:r>
      <w:proofErr w:type="spellEnd"/>
      <w:r>
        <w:t xml:space="preserve">, W. G.; Eastham, J. F.; </w:t>
      </w:r>
      <w:r>
        <w:rPr>
          <w:i/>
        </w:rPr>
        <w:t>Am. Chem. Soc.</w:t>
      </w:r>
      <w:r>
        <w:t xml:space="preserve"> </w:t>
      </w:r>
      <w:r>
        <w:rPr>
          <w:b/>
        </w:rPr>
        <w:t>1950</w:t>
      </w:r>
      <w:r>
        <w:t xml:space="preserve">, </w:t>
      </w:r>
      <w:r>
        <w:rPr>
          <w:i/>
        </w:rPr>
        <w:t>72,</w:t>
      </w:r>
      <w:r>
        <w:t xml:space="preserve"> 2305</w:t>
      </w:r>
    </w:p>
    <w:p w:rsidR="00EC521C" w:rsidRDefault="00D46899" w:rsidP="00A35955">
      <w:pPr>
        <w:pStyle w:val="ListParagraph"/>
        <w:numPr>
          <w:ilvl w:val="0"/>
          <w:numId w:val="1"/>
        </w:numPr>
      </w:pPr>
      <w:proofErr w:type="spellStart"/>
      <w:r>
        <w:t>Feiser</w:t>
      </w:r>
      <w:proofErr w:type="spellEnd"/>
      <w:r>
        <w:t xml:space="preserve">, L. F.; </w:t>
      </w:r>
      <w:proofErr w:type="spellStart"/>
      <w:r>
        <w:t>Fieser</w:t>
      </w:r>
      <w:proofErr w:type="spellEnd"/>
      <w:r>
        <w:t>, M. “Organic Experiments”, 3</w:t>
      </w:r>
      <w:r w:rsidRPr="00D46899">
        <w:rPr>
          <w:vertAlign w:val="superscript"/>
        </w:rPr>
        <w:t>rd</w:t>
      </w:r>
      <w:r>
        <w:t xml:space="preserve"> ed., Raytheon Education Co., Lexington Mass., 1975, pp120</w:t>
      </w:r>
    </w:p>
    <w:p w:rsidR="00D46899" w:rsidRDefault="005156F7" w:rsidP="00A35955">
      <w:pPr>
        <w:pStyle w:val="ListParagraph"/>
        <w:numPr>
          <w:ilvl w:val="0"/>
          <w:numId w:val="1"/>
        </w:numPr>
      </w:pPr>
      <w:r>
        <w:t>“Kirk-</w:t>
      </w:r>
      <w:proofErr w:type="spellStart"/>
      <w:r>
        <w:t>Othmer</w:t>
      </w:r>
      <w:proofErr w:type="spellEnd"/>
      <w:r>
        <w:t xml:space="preserve"> Encyclopedia of </w:t>
      </w:r>
      <w:proofErr w:type="spellStart"/>
      <w:r>
        <w:t>Chemicla</w:t>
      </w:r>
      <w:proofErr w:type="spellEnd"/>
      <w:r>
        <w:t xml:space="preserve"> Technology”, vol. 8, John Wiley &amp; sons Inc., pp 219</w:t>
      </w:r>
    </w:p>
    <w:p w:rsidR="005156F7" w:rsidRDefault="00E828E8" w:rsidP="00A35955">
      <w:pPr>
        <w:pStyle w:val="ListParagraph"/>
        <w:numPr>
          <w:ilvl w:val="0"/>
          <w:numId w:val="1"/>
        </w:numPr>
      </w:pPr>
      <w:r>
        <w:t xml:space="preserve">Stevens, H.C.; Rinehart, </w:t>
      </w:r>
      <w:proofErr w:type="spellStart"/>
      <w:r>
        <w:t>J.k</w:t>
      </w:r>
      <w:proofErr w:type="spellEnd"/>
      <w:r>
        <w:t xml:space="preserve">.; </w:t>
      </w:r>
      <w:proofErr w:type="spellStart"/>
      <w:r>
        <w:t>Lavanish</w:t>
      </w:r>
      <w:proofErr w:type="spellEnd"/>
      <w:r>
        <w:t xml:space="preserve">, J.; </w:t>
      </w:r>
      <w:proofErr w:type="spellStart"/>
      <w:r>
        <w:t>Trenta</w:t>
      </w:r>
      <w:proofErr w:type="spellEnd"/>
      <w:r>
        <w:t xml:space="preserve">, G. </w:t>
      </w:r>
      <w:r>
        <w:rPr>
          <w:i/>
        </w:rPr>
        <w:t>J. Org. Chem</w:t>
      </w:r>
      <w:r>
        <w:t xml:space="preserve">. </w:t>
      </w:r>
      <w:r>
        <w:rPr>
          <w:b/>
        </w:rPr>
        <w:t>1971</w:t>
      </w:r>
      <w:r>
        <w:t xml:space="preserve">, </w:t>
      </w:r>
      <w:r>
        <w:rPr>
          <w:i/>
        </w:rPr>
        <w:t>36</w:t>
      </w:r>
      <w:r>
        <w:t>, 2780</w:t>
      </w:r>
    </w:p>
    <w:p w:rsidR="00E828E8" w:rsidRPr="00A35955" w:rsidRDefault="000E6F98" w:rsidP="005B6A23">
      <w:pPr>
        <w:pStyle w:val="ListParagraph"/>
        <w:numPr>
          <w:ilvl w:val="0"/>
          <w:numId w:val="1"/>
        </w:numPr>
      </w:pPr>
      <w:r>
        <w:t xml:space="preserve">Chemistry 144 Organic Synthesis Laboratory Experiments </w:t>
      </w:r>
      <w:proofErr w:type="spellStart"/>
      <w:r>
        <w:t>Profesor</w:t>
      </w:r>
      <w:proofErr w:type="spellEnd"/>
      <w:r>
        <w:t xml:space="preserve"> Michael e. Jung </w:t>
      </w:r>
      <w:proofErr w:type="spellStart"/>
      <w:r>
        <w:t>Fal</w:t>
      </w:r>
      <w:proofErr w:type="spellEnd"/>
      <w:r>
        <w:t xml:space="preserve"> 2008 UCLA Department of Chemistry and Biochemistry</w:t>
      </w:r>
    </w:p>
    <w:p w:rsidR="00844C4B" w:rsidRDefault="00844C4B" w:rsidP="00844C4B">
      <w:pPr>
        <w:rPr>
          <w:b/>
        </w:rPr>
      </w:pPr>
      <w:r>
        <w:rPr>
          <w:b/>
        </w:rPr>
        <w:t>Spectra</w:t>
      </w:r>
    </w:p>
    <w:p w:rsidR="00536970" w:rsidRDefault="00536970"/>
    <w:sectPr w:rsidR="00536970" w:rsidSect="00536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E5"/>
    <w:multiLevelType w:val="hybridMultilevel"/>
    <w:tmpl w:val="80E6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37448"/>
    <w:multiLevelType w:val="hybridMultilevel"/>
    <w:tmpl w:val="F992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4C4B"/>
    <w:rsid w:val="000013F4"/>
    <w:rsid w:val="00063959"/>
    <w:rsid w:val="00085DB9"/>
    <w:rsid w:val="00090B81"/>
    <w:rsid w:val="00092ADC"/>
    <w:rsid w:val="000A7352"/>
    <w:rsid w:val="000B2422"/>
    <w:rsid w:val="000E6F98"/>
    <w:rsid w:val="00102464"/>
    <w:rsid w:val="001373C4"/>
    <w:rsid w:val="0015194D"/>
    <w:rsid w:val="00166572"/>
    <w:rsid w:val="0019011B"/>
    <w:rsid w:val="00195250"/>
    <w:rsid w:val="00195EEE"/>
    <w:rsid w:val="001964C9"/>
    <w:rsid w:val="001A7414"/>
    <w:rsid w:val="001E59E2"/>
    <w:rsid w:val="001F598E"/>
    <w:rsid w:val="002040FB"/>
    <w:rsid w:val="00220403"/>
    <w:rsid w:val="002232AF"/>
    <w:rsid w:val="0024743F"/>
    <w:rsid w:val="002577FE"/>
    <w:rsid w:val="0026627A"/>
    <w:rsid w:val="00275DC6"/>
    <w:rsid w:val="00291F2B"/>
    <w:rsid w:val="00297CF0"/>
    <w:rsid w:val="002A7FBF"/>
    <w:rsid w:val="002B3E0B"/>
    <w:rsid w:val="002C7C0D"/>
    <w:rsid w:val="002E6AA7"/>
    <w:rsid w:val="00300AF3"/>
    <w:rsid w:val="00304ECE"/>
    <w:rsid w:val="00316D80"/>
    <w:rsid w:val="00317518"/>
    <w:rsid w:val="00320BA0"/>
    <w:rsid w:val="00321BB4"/>
    <w:rsid w:val="003327D9"/>
    <w:rsid w:val="00363E4F"/>
    <w:rsid w:val="003739C0"/>
    <w:rsid w:val="00396DDC"/>
    <w:rsid w:val="003B4C8F"/>
    <w:rsid w:val="003C2C6D"/>
    <w:rsid w:val="003D33B1"/>
    <w:rsid w:val="003E1112"/>
    <w:rsid w:val="003F5AB3"/>
    <w:rsid w:val="0042061F"/>
    <w:rsid w:val="004253FA"/>
    <w:rsid w:val="00436CEF"/>
    <w:rsid w:val="00476BEC"/>
    <w:rsid w:val="00496168"/>
    <w:rsid w:val="004A1563"/>
    <w:rsid w:val="004A62F8"/>
    <w:rsid w:val="004A696D"/>
    <w:rsid w:val="004E4936"/>
    <w:rsid w:val="004F29A0"/>
    <w:rsid w:val="00506B6D"/>
    <w:rsid w:val="005109B2"/>
    <w:rsid w:val="00513F74"/>
    <w:rsid w:val="005156F7"/>
    <w:rsid w:val="00536970"/>
    <w:rsid w:val="00553EBF"/>
    <w:rsid w:val="00575826"/>
    <w:rsid w:val="00587541"/>
    <w:rsid w:val="005912D2"/>
    <w:rsid w:val="005A2256"/>
    <w:rsid w:val="005A2D6F"/>
    <w:rsid w:val="005B6A23"/>
    <w:rsid w:val="005C15E3"/>
    <w:rsid w:val="005E190F"/>
    <w:rsid w:val="0060298F"/>
    <w:rsid w:val="006069EA"/>
    <w:rsid w:val="00624322"/>
    <w:rsid w:val="0063099E"/>
    <w:rsid w:val="00630B3C"/>
    <w:rsid w:val="00635943"/>
    <w:rsid w:val="00641FA6"/>
    <w:rsid w:val="006506E9"/>
    <w:rsid w:val="00651F64"/>
    <w:rsid w:val="006707D2"/>
    <w:rsid w:val="00671FD8"/>
    <w:rsid w:val="006831BF"/>
    <w:rsid w:val="0068659C"/>
    <w:rsid w:val="00695A1B"/>
    <w:rsid w:val="006C1026"/>
    <w:rsid w:val="006D7BF8"/>
    <w:rsid w:val="006F0428"/>
    <w:rsid w:val="007049C7"/>
    <w:rsid w:val="007128BF"/>
    <w:rsid w:val="0075355C"/>
    <w:rsid w:val="00762100"/>
    <w:rsid w:val="007637A4"/>
    <w:rsid w:val="00766225"/>
    <w:rsid w:val="00784C98"/>
    <w:rsid w:val="007B0919"/>
    <w:rsid w:val="007B3F94"/>
    <w:rsid w:val="007F6D8F"/>
    <w:rsid w:val="007F6DCD"/>
    <w:rsid w:val="00825E54"/>
    <w:rsid w:val="00830ADC"/>
    <w:rsid w:val="00844C4B"/>
    <w:rsid w:val="00855620"/>
    <w:rsid w:val="008726CF"/>
    <w:rsid w:val="00881A43"/>
    <w:rsid w:val="0089781D"/>
    <w:rsid w:val="008A32AB"/>
    <w:rsid w:val="008A33F6"/>
    <w:rsid w:val="008B7575"/>
    <w:rsid w:val="008C215E"/>
    <w:rsid w:val="008F1613"/>
    <w:rsid w:val="008F383E"/>
    <w:rsid w:val="009023A6"/>
    <w:rsid w:val="009120D7"/>
    <w:rsid w:val="00916AC8"/>
    <w:rsid w:val="009208F1"/>
    <w:rsid w:val="0092428A"/>
    <w:rsid w:val="00930953"/>
    <w:rsid w:val="00940D5C"/>
    <w:rsid w:val="00974731"/>
    <w:rsid w:val="00985091"/>
    <w:rsid w:val="009A57A9"/>
    <w:rsid w:val="009B06C6"/>
    <w:rsid w:val="009C5EB6"/>
    <w:rsid w:val="009E7557"/>
    <w:rsid w:val="009E7A3C"/>
    <w:rsid w:val="00A24C5A"/>
    <w:rsid w:val="00A35955"/>
    <w:rsid w:val="00A37CA0"/>
    <w:rsid w:val="00A431F0"/>
    <w:rsid w:val="00A5389D"/>
    <w:rsid w:val="00A84B06"/>
    <w:rsid w:val="00A84C19"/>
    <w:rsid w:val="00A87AE8"/>
    <w:rsid w:val="00A97A4C"/>
    <w:rsid w:val="00AC555E"/>
    <w:rsid w:val="00AC711F"/>
    <w:rsid w:val="00AD1883"/>
    <w:rsid w:val="00AE11F1"/>
    <w:rsid w:val="00B20CEA"/>
    <w:rsid w:val="00B247E2"/>
    <w:rsid w:val="00B24A68"/>
    <w:rsid w:val="00B33E2C"/>
    <w:rsid w:val="00B710D6"/>
    <w:rsid w:val="00B72F46"/>
    <w:rsid w:val="00B74E01"/>
    <w:rsid w:val="00B91B74"/>
    <w:rsid w:val="00B94FFA"/>
    <w:rsid w:val="00BB7E84"/>
    <w:rsid w:val="00BC61E4"/>
    <w:rsid w:val="00BE6EE1"/>
    <w:rsid w:val="00BF005C"/>
    <w:rsid w:val="00C130A9"/>
    <w:rsid w:val="00C43A26"/>
    <w:rsid w:val="00C66178"/>
    <w:rsid w:val="00C72623"/>
    <w:rsid w:val="00C93A8A"/>
    <w:rsid w:val="00CB168E"/>
    <w:rsid w:val="00CB1696"/>
    <w:rsid w:val="00CC1FC7"/>
    <w:rsid w:val="00CE3B12"/>
    <w:rsid w:val="00CF5AD7"/>
    <w:rsid w:val="00D05B09"/>
    <w:rsid w:val="00D14804"/>
    <w:rsid w:val="00D1639F"/>
    <w:rsid w:val="00D32C34"/>
    <w:rsid w:val="00D457A3"/>
    <w:rsid w:val="00D46899"/>
    <w:rsid w:val="00D5774A"/>
    <w:rsid w:val="00D675C1"/>
    <w:rsid w:val="00D75552"/>
    <w:rsid w:val="00D8500B"/>
    <w:rsid w:val="00DC5A80"/>
    <w:rsid w:val="00DD1726"/>
    <w:rsid w:val="00DD2C24"/>
    <w:rsid w:val="00DE702E"/>
    <w:rsid w:val="00E03DC7"/>
    <w:rsid w:val="00E239C3"/>
    <w:rsid w:val="00E37B35"/>
    <w:rsid w:val="00E4622A"/>
    <w:rsid w:val="00E50454"/>
    <w:rsid w:val="00E65987"/>
    <w:rsid w:val="00E70AA0"/>
    <w:rsid w:val="00E73FDE"/>
    <w:rsid w:val="00E7580D"/>
    <w:rsid w:val="00E75D3F"/>
    <w:rsid w:val="00E75DE4"/>
    <w:rsid w:val="00E76B50"/>
    <w:rsid w:val="00E828E8"/>
    <w:rsid w:val="00E85ADC"/>
    <w:rsid w:val="00EA0FFB"/>
    <w:rsid w:val="00EC41AD"/>
    <w:rsid w:val="00EC521C"/>
    <w:rsid w:val="00ED4CC9"/>
    <w:rsid w:val="00EE23A9"/>
    <w:rsid w:val="00EF0B3B"/>
    <w:rsid w:val="00EF3199"/>
    <w:rsid w:val="00F14754"/>
    <w:rsid w:val="00F262F1"/>
    <w:rsid w:val="00F263A4"/>
    <w:rsid w:val="00F30CA9"/>
    <w:rsid w:val="00F37BD4"/>
    <w:rsid w:val="00F476E6"/>
    <w:rsid w:val="00F74CDD"/>
    <w:rsid w:val="00FB0E58"/>
    <w:rsid w:val="00FB3B3E"/>
    <w:rsid w:val="00FD1209"/>
    <w:rsid w:val="00FD61F7"/>
    <w:rsid w:val="00FF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639F"/>
    <w:rPr>
      <w:color w:val="808080"/>
    </w:rPr>
  </w:style>
  <w:style w:type="table" w:styleId="TableGrid">
    <w:name w:val="Table Grid"/>
    <w:basedOn w:val="TableNormal"/>
    <w:uiPriority w:val="59"/>
    <w:rsid w:val="00320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577F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30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1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3455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173</cp:revision>
  <cp:lastPrinted>2008-11-11T01:01:00Z</cp:lastPrinted>
  <dcterms:created xsi:type="dcterms:W3CDTF">2008-10-21T20:57:00Z</dcterms:created>
  <dcterms:modified xsi:type="dcterms:W3CDTF">2008-11-11T01:10:00Z</dcterms:modified>
</cp:coreProperties>
</file>